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9FB0" w14:textId="77777777" w:rsidR="004E066F" w:rsidRPr="005157A8" w:rsidRDefault="004E066F" w:rsidP="004E066F">
      <w:pPr>
        <w:pStyle w:val="FootnoteText"/>
        <w:rPr>
          <w:b/>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4E066F" w:rsidRPr="005157A8" w14:paraId="26239464" w14:textId="77777777" w:rsidTr="00B651B2">
        <w:trPr>
          <w:cantSplit/>
        </w:trPr>
        <w:tc>
          <w:tcPr>
            <w:tcW w:w="4687" w:type="dxa"/>
          </w:tcPr>
          <w:p w14:paraId="4E6012CE" w14:textId="77777777" w:rsidR="004E066F" w:rsidRPr="005157A8" w:rsidRDefault="004E066F" w:rsidP="00B651B2">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6AF6F6C9" wp14:editId="1F667DAC">
                  <wp:extent cx="2859405" cy="671195"/>
                  <wp:effectExtent l="0" t="0" r="0" b="0"/>
                  <wp:docPr id="180025427"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671195"/>
                          </a:xfrm>
                          <a:prstGeom prst="rect">
                            <a:avLst/>
                          </a:prstGeom>
                          <a:noFill/>
                          <a:ln>
                            <a:noFill/>
                          </a:ln>
                        </pic:spPr>
                      </pic:pic>
                    </a:graphicData>
                  </a:graphic>
                </wp:inline>
              </w:drawing>
            </w:r>
          </w:p>
          <w:p w14:paraId="56BE49F1" w14:textId="77777777" w:rsidR="004E066F" w:rsidRPr="005157A8" w:rsidRDefault="004E066F" w:rsidP="00B651B2">
            <w:pPr>
              <w:tabs>
                <w:tab w:val="left" w:pos="1080"/>
              </w:tabs>
              <w:jc w:val="center"/>
              <w:rPr>
                <w:b/>
              </w:rPr>
            </w:pPr>
          </w:p>
          <w:p w14:paraId="5D278BF9" w14:textId="77777777" w:rsidR="004E066F" w:rsidRPr="005157A8" w:rsidRDefault="004E066F" w:rsidP="00B651B2">
            <w:pPr>
              <w:tabs>
                <w:tab w:val="left" w:pos="1080"/>
              </w:tabs>
              <w:jc w:val="center"/>
              <w:rPr>
                <w:b/>
              </w:rPr>
            </w:pPr>
            <w:r w:rsidRPr="005157A8">
              <w:rPr>
                <w:b/>
              </w:rPr>
              <w:t xml:space="preserve">Division of </w:t>
            </w:r>
            <w:r>
              <w:rPr>
                <w:b/>
              </w:rPr>
              <w:t>Finance and Business Operations</w:t>
            </w:r>
          </w:p>
        </w:tc>
        <w:tc>
          <w:tcPr>
            <w:tcW w:w="2790" w:type="dxa"/>
          </w:tcPr>
          <w:p w14:paraId="5131BF19" w14:textId="77777777" w:rsidR="004E066F" w:rsidRPr="005157A8" w:rsidRDefault="004E066F" w:rsidP="00B651B2">
            <w:pPr>
              <w:tabs>
                <w:tab w:val="left" w:pos="1080"/>
              </w:tabs>
            </w:pPr>
          </w:p>
        </w:tc>
        <w:tc>
          <w:tcPr>
            <w:tcW w:w="3609" w:type="dxa"/>
          </w:tcPr>
          <w:p w14:paraId="7C7D14A5" w14:textId="77777777" w:rsidR="004E066F" w:rsidRPr="005157A8" w:rsidRDefault="004E066F" w:rsidP="00B651B2">
            <w:pPr>
              <w:tabs>
                <w:tab w:val="left" w:pos="1080"/>
              </w:tabs>
              <w:rPr>
                <w:b/>
              </w:rPr>
            </w:pPr>
          </w:p>
          <w:p w14:paraId="658DF3BA" w14:textId="77777777" w:rsidR="004E066F" w:rsidRPr="005157A8" w:rsidRDefault="004E066F" w:rsidP="00B651B2">
            <w:pPr>
              <w:tabs>
                <w:tab w:val="left" w:pos="1080"/>
              </w:tabs>
              <w:rPr>
                <w:b/>
                <w:sz w:val="8"/>
                <w:szCs w:val="8"/>
              </w:rPr>
            </w:pPr>
            <w:r w:rsidRPr="005157A8">
              <w:rPr>
                <w:b/>
                <w:sz w:val="8"/>
                <w:szCs w:val="8"/>
              </w:rPr>
              <w:t xml:space="preserve">   </w:t>
            </w:r>
          </w:p>
          <w:p w14:paraId="11CC1518" w14:textId="77777777" w:rsidR="004E066F" w:rsidRPr="005157A8" w:rsidRDefault="004E066F" w:rsidP="00B651B2">
            <w:pPr>
              <w:tabs>
                <w:tab w:val="left" w:pos="1080"/>
              </w:tabs>
              <w:rPr>
                <w:b/>
              </w:rPr>
            </w:pPr>
            <w:r>
              <w:rPr>
                <w:b/>
              </w:rPr>
              <w:t>Procurement &amp; Strategic Sourcing</w:t>
            </w:r>
          </w:p>
          <w:p w14:paraId="5D51EA1F" w14:textId="77777777" w:rsidR="004E066F" w:rsidRPr="005157A8" w:rsidRDefault="004E066F" w:rsidP="00B651B2">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14:paraId="2A8F8E24" w14:textId="77777777" w:rsidR="004E066F" w:rsidRPr="005157A8" w:rsidRDefault="004E066F" w:rsidP="00B651B2">
            <w:pPr>
              <w:tabs>
                <w:tab w:val="left" w:pos="1080"/>
              </w:tabs>
              <w:rPr>
                <w:b/>
              </w:rPr>
            </w:pPr>
            <w:r w:rsidRPr="005157A8">
              <w:rPr>
                <w:b/>
              </w:rPr>
              <w:t>Detroit, Michigan 48202</w:t>
            </w:r>
          </w:p>
          <w:p w14:paraId="604CBD9D" w14:textId="77777777" w:rsidR="004E066F" w:rsidRPr="005157A8" w:rsidRDefault="004E066F" w:rsidP="00B651B2">
            <w:pPr>
              <w:tabs>
                <w:tab w:val="left" w:pos="1080"/>
              </w:tabs>
              <w:rPr>
                <w:b/>
              </w:rPr>
            </w:pPr>
            <w:r w:rsidRPr="005157A8">
              <w:rPr>
                <w:b/>
              </w:rPr>
              <w:t xml:space="preserve">(313) 577-3734 </w:t>
            </w:r>
          </w:p>
          <w:p w14:paraId="7B131543" w14:textId="77777777" w:rsidR="004E066F" w:rsidRPr="005157A8" w:rsidRDefault="004E066F" w:rsidP="00B651B2">
            <w:pPr>
              <w:tabs>
                <w:tab w:val="left" w:pos="1080"/>
              </w:tabs>
              <w:rPr>
                <w:b/>
              </w:rPr>
            </w:pPr>
            <w:r w:rsidRPr="005157A8">
              <w:rPr>
                <w:b/>
              </w:rPr>
              <w:t>FAX (313) 577-3747</w:t>
            </w:r>
          </w:p>
        </w:tc>
      </w:tr>
    </w:tbl>
    <w:p w14:paraId="3E008D48" w14:textId="77777777" w:rsidR="004E066F" w:rsidRPr="005157A8" w:rsidRDefault="004E066F" w:rsidP="004E066F"/>
    <w:p w14:paraId="3638CB8A" w14:textId="77777777" w:rsidR="004E066F" w:rsidRPr="005157A8" w:rsidRDefault="004E066F" w:rsidP="004E066F">
      <w:pPr>
        <w:tabs>
          <w:tab w:val="left" w:pos="720"/>
        </w:tabs>
        <w:ind w:left="6840"/>
      </w:pPr>
    </w:p>
    <w:p w14:paraId="3BE53271" w14:textId="77777777" w:rsidR="004E066F" w:rsidRPr="005157A8" w:rsidRDefault="004E066F" w:rsidP="004E066F">
      <w:pPr>
        <w:tabs>
          <w:tab w:val="left" w:pos="7200"/>
        </w:tabs>
        <w:ind w:left="7200"/>
      </w:pPr>
      <w:r w:rsidRPr="00DF1080">
        <w:rPr>
          <w:b/>
        </w:rPr>
        <w:t>March 26, 2025</w:t>
      </w:r>
    </w:p>
    <w:p w14:paraId="62CCF390" w14:textId="77777777" w:rsidR="004E066F" w:rsidRPr="005157A8" w:rsidRDefault="004E066F" w:rsidP="004E066F">
      <w:pPr>
        <w:rPr>
          <w:sz w:val="24"/>
          <w:szCs w:val="24"/>
        </w:rPr>
      </w:pPr>
    </w:p>
    <w:p w14:paraId="6BA8C555" w14:textId="77777777" w:rsidR="004E066F" w:rsidRPr="001548FF" w:rsidRDefault="004E066F" w:rsidP="004E066F">
      <w:pPr>
        <w:jc w:val="center"/>
        <w:rPr>
          <w:b/>
        </w:rPr>
      </w:pPr>
      <w:r w:rsidRPr="001548FF">
        <w:rPr>
          <w:b/>
        </w:rPr>
        <w:t>Addendum #1 To</w:t>
      </w:r>
    </w:p>
    <w:p w14:paraId="44A74EE8" w14:textId="77777777" w:rsidR="004E066F" w:rsidRPr="001548FF" w:rsidRDefault="004E066F" w:rsidP="004E066F">
      <w:pPr>
        <w:jc w:val="center"/>
        <w:rPr>
          <w:b/>
        </w:rPr>
      </w:pPr>
      <w:r w:rsidRPr="001548FF">
        <w:rPr>
          <w:b/>
        </w:rPr>
        <w:t>Request for Proposal</w:t>
      </w:r>
    </w:p>
    <w:p w14:paraId="643E20A3" w14:textId="77777777" w:rsidR="004E066F" w:rsidRDefault="004E066F" w:rsidP="004E066F">
      <w:pPr>
        <w:jc w:val="center"/>
        <w:rPr>
          <w:b/>
        </w:rPr>
      </w:pPr>
      <w:r w:rsidRPr="005157A8">
        <w:rPr>
          <w:b/>
        </w:rPr>
        <w:t xml:space="preserve">RFP </w:t>
      </w:r>
      <w:r w:rsidRPr="00DF1080">
        <w:rPr>
          <w:b/>
        </w:rPr>
        <w:t>Health Science Research Building</w:t>
      </w:r>
    </w:p>
    <w:p w14:paraId="34BE1E33" w14:textId="77777777" w:rsidR="004E066F" w:rsidRDefault="004E066F" w:rsidP="004E066F">
      <w:pPr>
        <w:jc w:val="center"/>
        <w:rPr>
          <w:b/>
        </w:rPr>
      </w:pPr>
      <w:r w:rsidRPr="00DF1080">
        <w:rPr>
          <w:b/>
        </w:rPr>
        <w:t xml:space="preserve"> Commissioning Services -</w:t>
      </w:r>
      <w:r>
        <w:rPr>
          <w:b/>
        </w:rPr>
        <w:t xml:space="preserve"> </w:t>
      </w:r>
      <w:r w:rsidRPr="00DF1080">
        <w:rPr>
          <w:b/>
        </w:rPr>
        <w:t>2025</w:t>
      </w:r>
      <w:r w:rsidRPr="005157A8">
        <w:rPr>
          <w:b/>
        </w:rPr>
        <w:t xml:space="preserve"> </w:t>
      </w:r>
    </w:p>
    <w:p w14:paraId="618AEC07" w14:textId="78281517" w:rsidR="004E066F" w:rsidRDefault="004E066F" w:rsidP="004E066F">
      <w:pPr>
        <w:jc w:val="center"/>
        <w:rPr>
          <w:b/>
          <w:smallCaps/>
        </w:rPr>
      </w:pPr>
      <w:r w:rsidRPr="00930CD2">
        <w:rPr>
          <w:b/>
        </w:rPr>
        <w:t>dated</w:t>
      </w:r>
      <w:r w:rsidRPr="005157A8">
        <w:rPr>
          <w:b/>
          <w:i/>
        </w:rPr>
        <w:t xml:space="preserve"> </w:t>
      </w:r>
      <w:r w:rsidRPr="00DF1080">
        <w:rPr>
          <w:b/>
        </w:rPr>
        <w:t>March 19, 2025</w:t>
      </w:r>
      <w:r w:rsidRPr="005157A8">
        <w:rPr>
          <w:b/>
          <w:smallCaps/>
        </w:rPr>
        <w:t xml:space="preserve"> </w:t>
      </w:r>
    </w:p>
    <w:p w14:paraId="298DA8E7" w14:textId="77777777" w:rsidR="004E066F" w:rsidRDefault="004E066F" w:rsidP="004E066F">
      <w:pPr>
        <w:jc w:val="center"/>
        <w:rPr>
          <w:b/>
          <w:sz w:val="24"/>
          <w:szCs w:val="24"/>
        </w:rPr>
      </w:pPr>
    </w:p>
    <w:p w14:paraId="3A957006" w14:textId="77777777" w:rsidR="004E066F" w:rsidRPr="005157A8" w:rsidRDefault="004E066F" w:rsidP="004E066F">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11F7624F" w14:textId="77777777" w:rsidR="004E066F" w:rsidRPr="005157A8" w:rsidRDefault="004E066F" w:rsidP="004E066F">
      <w:pPr>
        <w:jc w:val="center"/>
        <w:rPr>
          <w:b/>
        </w:rPr>
      </w:pPr>
    </w:p>
    <w:p w14:paraId="5A833927" w14:textId="77777777" w:rsidR="004E066F" w:rsidRPr="004904E7" w:rsidRDefault="004E066F" w:rsidP="004E066F">
      <w:pPr>
        <w:jc w:val="both"/>
        <w:rPr>
          <w:b/>
        </w:rPr>
      </w:pPr>
      <w:r w:rsidRPr="001548FF">
        <w:rPr>
          <w:b/>
        </w:rPr>
        <w:t>Th</w:t>
      </w:r>
      <w:r>
        <w:rPr>
          <w:b/>
        </w:rPr>
        <w:t>is</w:t>
      </w:r>
      <w:r w:rsidRPr="001548FF">
        <w:rPr>
          <w:b/>
        </w:rPr>
        <w:t xml:space="preserve"> Addendum must be acknowledged </w:t>
      </w:r>
      <w:r>
        <w:rPr>
          <w:b/>
        </w:rPr>
        <w:t>on Schedule D.</w:t>
      </w:r>
    </w:p>
    <w:p w14:paraId="77347FCE" w14:textId="77777777" w:rsidR="004E066F" w:rsidRPr="005157A8" w:rsidRDefault="004E066F" w:rsidP="004E066F">
      <w:pPr>
        <w:tabs>
          <w:tab w:val="left" w:pos="1080"/>
        </w:tabs>
      </w:pPr>
    </w:p>
    <w:p w14:paraId="3417FE98" w14:textId="2CC5DFE7" w:rsidR="004E066F" w:rsidRPr="00940420" w:rsidRDefault="004E066F" w:rsidP="004E066F">
      <w:pPr>
        <w:tabs>
          <w:tab w:val="left" w:pos="1080"/>
        </w:tabs>
        <w:jc w:val="both"/>
      </w:pPr>
      <w:r w:rsidRPr="00940420">
        <w:t>The pre-</w:t>
      </w:r>
      <w:r>
        <w:t>proposal</w:t>
      </w:r>
      <w:r w:rsidRPr="00940420">
        <w:t xml:space="preserve"> conference for the </w:t>
      </w:r>
      <w:r w:rsidRPr="00DF1080">
        <w:rPr>
          <w:b/>
        </w:rPr>
        <w:t>Health Science Research Building- Commissioning Services -2025</w:t>
      </w:r>
      <w:r w:rsidRPr="00940420">
        <w:t xml:space="preserve"> was held on </w:t>
      </w:r>
      <w:r w:rsidRPr="00DF1080">
        <w:rPr>
          <w:b/>
        </w:rPr>
        <w:t>March 26, 2025</w:t>
      </w:r>
      <w:r w:rsidRPr="00940420">
        <w:rPr>
          <w:b/>
        </w:rPr>
        <w:t xml:space="preserve"> at </w:t>
      </w:r>
      <w:r w:rsidRPr="00DF1080">
        <w:rPr>
          <w:b/>
        </w:rPr>
        <w:t>10:00am</w:t>
      </w:r>
      <w:r w:rsidRPr="00940420">
        <w:t xml:space="preserve"> </w:t>
      </w:r>
      <w:r w:rsidRPr="00DF1080">
        <w:rPr>
          <w:b/>
        </w:rPr>
        <w:t>Valerie Kreher</w:t>
      </w:r>
      <w:r w:rsidRPr="00940420">
        <w:t xml:space="preserve"> reviewed the administrative requirements of the pre-</w:t>
      </w:r>
      <w:r>
        <w:t>proposal</w:t>
      </w:r>
      <w:r w:rsidRPr="00940420">
        <w:t xml:space="preserve"> package, especially concerning details such as bid due dates and who vendors may contact during the live bid process. </w:t>
      </w:r>
      <w:r w:rsidR="00181551">
        <w:t xml:space="preserve">Brian Deming of </w:t>
      </w:r>
      <w:r w:rsidRPr="00940420">
        <w:t xml:space="preserve"> </w:t>
      </w:r>
      <w:r w:rsidR="00181551">
        <w:rPr>
          <w:b/>
        </w:rPr>
        <w:t>Kramer</w:t>
      </w:r>
      <w:r w:rsidRPr="00940420">
        <w:t>, discussed the expectations and scope of work.</w:t>
      </w:r>
    </w:p>
    <w:p w14:paraId="178ED155" w14:textId="77777777" w:rsidR="004E066F" w:rsidRPr="00940420" w:rsidRDefault="004E066F" w:rsidP="004E066F">
      <w:pPr>
        <w:tabs>
          <w:tab w:val="left" w:pos="1080"/>
        </w:tabs>
        <w:jc w:val="both"/>
      </w:pPr>
    </w:p>
    <w:p w14:paraId="5D0161A0" w14:textId="51BE3217" w:rsidR="004E066F" w:rsidRDefault="004E066F" w:rsidP="004E066F">
      <w:pPr>
        <w:tabs>
          <w:tab w:val="left" w:pos="1080"/>
        </w:tabs>
        <w:jc w:val="both"/>
      </w:pPr>
      <w:r w:rsidRPr="00940420">
        <w:t>The pre-</w:t>
      </w:r>
      <w:r>
        <w:t>proposal</w:t>
      </w:r>
      <w:r w:rsidRPr="00940420">
        <w:t xml:space="preserve"> conference attendees sign in sheet and meeting minutes are available for downloading from the University Purchasing Web Site at </w:t>
      </w:r>
      <w:hyperlink r:id="rId8" w:history="1">
        <w:r w:rsidR="00133030" w:rsidRPr="00A92B5F">
          <w:rPr>
            <w:rStyle w:val="Hyperlink"/>
            <w:rFonts w:ascii="Calibri" w:hAnsi="Calibri" w:cs="Calibri"/>
            <w:b/>
            <w:szCs w:val="22"/>
          </w:rPr>
          <w:t>http://go.wayne.edu/bids</w:t>
        </w:r>
      </w:hyperlink>
      <w:r w:rsidRPr="00940420">
        <w:t>.</w:t>
      </w:r>
    </w:p>
    <w:p w14:paraId="76C535AF" w14:textId="77777777" w:rsidR="00133030" w:rsidRDefault="00133030" w:rsidP="004E066F">
      <w:pPr>
        <w:tabs>
          <w:tab w:val="left" w:pos="1080"/>
        </w:tabs>
        <w:jc w:val="both"/>
      </w:pPr>
    </w:p>
    <w:p w14:paraId="40EC2054" w14:textId="22AFF454" w:rsidR="00133030" w:rsidRPr="00133030" w:rsidRDefault="00133030" w:rsidP="004E066F">
      <w:pPr>
        <w:tabs>
          <w:tab w:val="left" w:pos="1080"/>
        </w:tabs>
        <w:jc w:val="both"/>
        <w:rPr>
          <w:b/>
          <w:bCs/>
        </w:rPr>
      </w:pPr>
      <w:r w:rsidRPr="00133030">
        <w:rPr>
          <w:b/>
          <w:bCs/>
        </w:rPr>
        <w:t>Please note:  Bid due date has been changed to April 4, 2025 at 2:00 pm</w:t>
      </w:r>
    </w:p>
    <w:p w14:paraId="190B165D" w14:textId="77777777" w:rsidR="004E066F" w:rsidRPr="00940420" w:rsidRDefault="004E066F" w:rsidP="004E066F">
      <w:pPr>
        <w:tabs>
          <w:tab w:val="left" w:pos="1080"/>
        </w:tabs>
        <w:jc w:val="both"/>
      </w:pPr>
    </w:p>
    <w:p w14:paraId="59659C17" w14:textId="77777777" w:rsidR="004E066F" w:rsidRPr="00133030" w:rsidRDefault="004E066F" w:rsidP="004E066F">
      <w:pPr>
        <w:pStyle w:val="BodyText3"/>
        <w:jc w:val="both"/>
        <w:rPr>
          <w:bCs/>
          <w:sz w:val="18"/>
          <w:szCs w:val="18"/>
        </w:rPr>
      </w:pPr>
      <w:r w:rsidRPr="00133030">
        <w:rPr>
          <w:bCs/>
          <w:sz w:val="18"/>
          <w:szCs w:val="18"/>
        </w:rPr>
        <w:t>Numerous simple questions and answers were addressed at the pre-</w:t>
      </w:r>
      <w:r w:rsidRPr="00133030">
        <w:rPr>
          <w:bCs/>
          <w:sz w:val="18"/>
          <w:szCs w:val="18"/>
          <w:lang w:val="en-US"/>
        </w:rPr>
        <w:t>proposal</w:t>
      </w:r>
      <w:r w:rsidRPr="00133030">
        <w:rPr>
          <w:bCs/>
          <w:sz w:val="18"/>
          <w:szCs w:val="18"/>
        </w:rPr>
        <w:t xml:space="preserve"> meeting. Some of the issues were as follows: </w:t>
      </w:r>
    </w:p>
    <w:p w14:paraId="2A2201F0" w14:textId="77777777" w:rsidR="004E066F" w:rsidRPr="00940420" w:rsidRDefault="004E066F" w:rsidP="004E066F">
      <w:pPr>
        <w:tabs>
          <w:tab w:val="left" w:pos="1080"/>
        </w:tabs>
        <w:jc w:val="both"/>
      </w:pPr>
      <w:bookmarkStart w:id="0" w:name="_Hlt75054070"/>
      <w:bookmarkEnd w:id="0"/>
    </w:p>
    <w:p w14:paraId="75B11705" w14:textId="77777777" w:rsidR="004E066F" w:rsidRPr="00F62E8C" w:rsidRDefault="004E066F" w:rsidP="004E066F">
      <w:pPr>
        <w:numPr>
          <w:ilvl w:val="0"/>
          <w:numId w:val="1"/>
        </w:numPr>
        <w:tabs>
          <w:tab w:val="left" w:pos="1080"/>
        </w:tabs>
        <w:jc w:val="both"/>
        <w:rPr>
          <w:b/>
        </w:rPr>
      </w:pPr>
      <w:r>
        <w:t xml:space="preserve">This RFP included an </w:t>
      </w:r>
      <w:r w:rsidRPr="00DF1080">
        <w:rPr>
          <w:b/>
          <w:color w:val="C00000"/>
        </w:rPr>
        <w:t>Optional</w:t>
      </w:r>
      <w:r w:rsidRPr="0048234C">
        <w:rPr>
          <w:b/>
        </w:rPr>
        <w:t xml:space="preserve"> pre-</w:t>
      </w:r>
      <w:r>
        <w:rPr>
          <w:b/>
        </w:rPr>
        <w:t>proposal</w:t>
      </w:r>
      <w:r w:rsidRPr="0048234C">
        <w:rPr>
          <w:b/>
        </w:rPr>
        <w:t xml:space="preserve"> meeting</w:t>
      </w:r>
      <w:r>
        <w:rPr>
          <w:b/>
        </w:rPr>
        <w:t xml:space="preserve">.  </w:t>
      </w:r>
      <w:r w:rsidRPr="003B3934">
        <w:t>In cases where the pre-</w:t>
      </w:r>
      <w:r>
        <w:t xml:space="preserve">proposal </w:t>
      </w:r>
      <w:r w:rsidRPr="003B3934">
        <w:t>meeting is mandatory,</w:t>
      </w:r>
      <w:r>
        <w:rPr>
          <w:b/>
        </w:rPr>
        <w:t xml:space="preserve"> </w:t>
      </w:r>
      <w:r w:rsidRPr="003B3934">
        <w:t>o</w:t>
      </w:r>
      <w:r w:rsidRPr="0048234C">
        <w:t>nly those vendors that attended the will be allowed to participate in this RFP Opportunity</w:t>
      </w:r>
    </w:p>
    <w:p w14:paraId="25CD1BEB" w14:textId="77777777" w:rsidR="004E066F" w:rsidRPr="0048234C" w:rsidRDefault="004E066F" w:rsidP="004E066F">
      <w:pPr>
        <w:numPr>
          <w:ilvl w:val="0"/>
          <w:numId w:val="1"/>
        </w:numPr>
        <w:tabs>
          <w:tab w:val="left" w:pos="1080"/>
        </w:tabs>
        <w:jc w:val="both"/>
        <w:rPr>
          <w:b/>
        </w:rPr>
      </w:pPr>
      <w:r>
        <w:t>A copy of the Prebid Attendance sheet will be posted to the website.</w:t>
      </w:r>
    </w:p>
    <w:p w14:paraId="48B4DF03" w14:textId="77777777" w:rsidR="004E066F" w:rsidRPr="00940420" w:rsidRDefault="004E066F" w:rsidP="004E066F">
      <w:pPr>
        <w:numPr>
          <w:ilvl w:val="0"/>
          <w:numId w:val="1"/>
        </w:numPr>
        <w:tabs>
          <w:tab w:val="left" w:pos="1080"/>
        </w:tabs>
        <w:jc w:val="both"/>
        <w:rPr>
          <w:b/>
        </w:rPr>
      </w:pPr>
      <w:r w:rsidRPr="00940420">
        <w:t xml:space="preserve">The Deadline for project related questions is </w:t>
      </w:r>
      <w:r w:rsidRPr="00DF1080">
        <w:rPr>
          <w:b/>
        </w:rPr>
        <w:t>March 28, 2025</w:t>
      </w:r>
      <w:r w:rsidRPr="00940420">
        <w:rPr>
          <w:b/>
          <w:i/>
        </w:rPr>
        <w:t>,</w:t>
      </w:r>
      <w:r w:rsidRPr="00940420">
        <w:t xml:space="preserve"> </w:t>
      </w:r>
      <w:r w:rsidRPr="00940420">
        <w:rPr>
          <w:b/>
        </w:rPr>
        <w:t>12:00 noon</w:t>
      </w:r>
      <w:r w:rsidRPr="00940420">
        <w:t>.</w:t>
      </w:r>
    </w:p>
    <w:p w14:paraId="5DDC4B5B" w14:textId="73728040" w:rsidR="004E066F" w:rsidRDefault="004E066F" w:rsidP="004E066F">
      <w:pPr>
        <w:numPr>
          <w:ilvl w:val="0"/>
          <w:numId w:val="1"/>
        </w:numPr>
        <w:tabs>
          <w:tab w:val="left" w:pos="1080"/>
        </w:tabs>
        <w:jc w:val="both"/>
      </w:pPr>
      <w:r w:rsidRPr="00D10B7D">
        <w:rPr>
          <w:b/>
        </w:rPr>
        <w:t>Bids are due by electronic submission on</w:t>
      </w:r>
      <w:r w:rsidRPr="00D10B7D">
        <w:t xml:space="preserve"> no later than 2:00 p.m., </w:t>
      </w:r>
      <w:r w:rsidRPr="00DF1080">
        <w:rPr>
          <w:b/>
        </w:rPr>
        <w:t xml:space="preserve">April </w:t>
      </w:r>
      <w:r w:rsidR="00133030">
        <w:rPr>
          <w:b/>
        </w:rPr>
        <w:t>4</w:t>
      </w:r>
      <w:r w:rsidRPr="00DF1080">
        <w:rPr>
          <w:b/>
        </w:rPr>
        <w:t>, 2025</w:t>
      </w:r>
      <w:r w:rsidRPr="00D10B7D">
        <w:rPr>
          <w:b/>
        </w:rPr>
        <w:t xml:space="preserve">. </w:t>
      </w:r>
      <w:r w:rsidRPr="00D10B7D">
        <w:t xml:space="preserve">The link for bid submission will be posted with the bid details at </w:t>
      </w:r>
      <w:r w:rsidRPr="00DF1080">
        <w:rPr>
          <w:rFonts w:ascii="Calibri" w:hAnsi="Calibri" w:cs="Calibri"/>
          <w:b/>
          <w:szCs w:val="22"/>
        </w:rPr>
        <w:t>http://go.wayne.edu/bids</w:t>
      </w:r>
      <w:r w:rsidRPr="00D10B7D">
        <w:t xml:space="preserve"> beginning </w:t>
      </w:r>
      <w:r w:rsidRPr="00DF1080">
        <w:rPr>
          <w:b/>
        </w:rPr>
        <w:t>March 19, 2025</w:t>
      </w:r>
      <w:r w:rsidRPr="00D10B7D">
        <w:t xml:space="preserve">. </w:t>
      </w:r>
    </w:p>
    <w:p w14:paraId="309CC969" w14:textId="77777777" w:rsidR="004E066F" w:rsidRPr="00C6695D" w:rsidRDefault="004E066F" w:rsidP="004E066F">
      <w:pPr>
        <w:numPr>
          <w:ilvl w:val="0"/>
          <w:numId w:val="1"/>
        </w:numPr>
        <w:tabs>
          <w:tab w:val="left" w:pos="1080"/>
        </w:tabs>
        <w:jc w:val="both"/>
      </w:pPr>
      <w:r w:rsidRPr="00E83849">
        <w:t xml:space="preserve">The University is a member of the Michigan University Self Insurance Corporation (MUSIC).  Insurance requirements for Wayne State work are based on the products or services provided.  </w:t>
      </w:r>
      <w:r w:rsidRPr="005257DD">
        <w:t xml:space="preserve">For this project, </w:t>
      </w:r>
      <w:r>
        <w:t xml:space="preserve">a Certificate of Liability </w:t>
      </w:r>
      <w:r w:rsidRPr="005257DD">
        <w:t xml:space="preserve">Insurance is </w:t>
      </w:r>
      <w:r w:rsidRPr="00DF1080">
        <w:rPr>
          <w:b/>
          <w:color w:val="C00000"/>
        </w:rPr>
        <w:t>Required</w:t>
      </w:r>
    </w:p>
    <w:p w14:paraId="56CC1D57" w14:textId="56FD2792" w:rsidR="00C6695D" w:rsidRDefault="00C6695D" w:rsidP="004E066F">
      <w:pPr>
        <w:numPr>
          <w:ilvl w:val="0"/>
          <w:numId w:val="1"/>
        </w:numPr>
        <w:tabs>
          <w:tab w:val="left" w:pos="1080"/>
        </w:tabs>
        <w:jc w:val="both"/>
      </w:pPr>
      <w:r>
        <w:t>A</w:t>
      </w:r>
      <w:r w:rsidRPr="00C6695D">
        <w:t xml:space="preserve"> revised</w:t>
      </w:r>
      <w:r>
        <w:t xml:space="preserve"> Cost S</w:t>
      </w:r>
      <w:r w:rsidRPr="00C6695D">
        <w:t xml:space="preserve">chedule C is coming with </w:t>
      </w:r>
      <w:r>
        <w:t>A</w:t>
      </w:r>
      <w:r w:rsidRPr="00C6695D">
        <w:t>ddendum 2</w:t>
      </w:r>
    </w:p>
    <w:p w14:paraId="09E79EE2" w14:textId="77777777" w:rsidR="004E066F" w:rsidRDefault="004E066F" w:rsidP="004E066F">
      <w:pPr>
        <w:numPr>
          <w:ilvl w:val="0"/>
          <w:numId w:val="1"/>
        </w:numPr>
        <w:tabs>
          <w:tab w:val="left" w:pos="1080"/>
        </w:tabs>
        <w:jc w:val="both"/>
      </w:pPr>
      <w:r w:rsidRPr="00940420">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15C7007F" w14:textId="77777777" w:rsidR="004E066F" w:rsidRDefault="004E066F" w:rsidP="004E066F">
      <w:pPr>
        <w:numPr>
          <w:ilvl w:val="0"/>
          <w:numId w:val="1"/>
        </w:numPr>
        <w:tabs>
          <w:tab w:val="left" w:pos="1080"/>
        </w:tabs>
        <w:jc w:val="both"/>
      </w:pPr>
      <w:r w:rsidRPr="00AF7271">
        <w:t xml:space="preserve">Parking on WSU campus lots and structures are </w:t>
      </w:r>
      <w:r>
        <w:t>$9.00</w:t>
      </w:r>
      <w:r w:rsidRPr="00AF7271">
        <w:t>/access.  Vendor must build parking into their lump sum bid. There is no parking allowed on the malls</w:t>
      </w:r>
      <w:r>
        <w:t>.</w:t>
      </w:r>
    </w:p>
    <w:p w14:paraId="0E6ACB0D" w14:textId="77777777" w:rsidR="004E066F" w:rsidRDefault="004E066F" w:rsidP="004E066F">
      <w:pPr>
        <w:numPr>
          <w:ilvl w:val="0"/>
          <w:numId w:val="1"/>
        </w:numPr>
      </w:pPr>
      <w:r w:rsidRPr="009C2CEE">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w:t>
      </w:r>
      <w:r w:rsidRPr="007165D8">
        <w:t>http://wayne.edu/smoke-free/policy/</w:t>
      </w:r>
    </w:p>
    <w:p w14:paraId="31FC6D11" w14:textId="77777777" w:rsidR="004E066F" w:rsidRDefault="004E066F" w:rsidP="004E066F">
      <w:pPr>
        <w:numPr>
          <w:ilvl w:val="0"/>
          <w:numId w:val="1"/>
        </w:numPr>
      </w:pPr>
      <w:r w:rsidRPr="004904E7">
        <w:t>IMPORTANT</w:t>
      </w:r>
      <w:r>
        <w:t xml:space="preserve"> </w:t>
      </w:r>
      <w:r w:rsidRPr="004904E7">
        <w:t>-</w:t>
      </w:r>
      <w:r>
        <w:t xml:space="preserve"> </w:t>
      </w:r>
      <w:r w:rsidRPr="003B3934">
        <w:t>Minutes for the Pre</w:t>
      </w:r>
      <w:r>
        <w:t>-Proposal</w:t>
      </w:r>
      <w:r w:rsidRPr="003B3934">
        <w:t xml:space="preserve"> Meeting </w:t>
      </w:r>
      <w:r>
        <w:t>are</w:t>
      </w:r>
      <w:r w:rsidRPr="003B3934">
        <w:t xml:space="preserve"> distributed</w:t>
      </w:r>
      <w:r>
        <w:t>,</w:t>
      </w:r>
      <w:r w:rsidRPr="003B3934">
        <w:t xml:space="preserve"> and published on the website as an Addendum.  Vendors are responsible for the information in this and all other Addenda, and must acknowledge </w:t>
      </w:r>
      <w:r>
        <w:t>each</w:t>
      </w:r>
      <w:r w:rsidRPr="003B3934">
        <w:t xml:space="preserve"> addend</w:t>
      </w:r>
      <w:r>
        <w:t>um</w:t>
      </w:r>
      <w:r w:rsidRPr="003B3934">
        <w:t xml:space="preserve"> in Schedule D.</w:t>
      </w:r>
    </w:p>
    <w:p w14:paraId="61B8D0C1" w14:textId="77777777" w:rsidR="00212EE6" w:rsidRDefault="00212EE6" w:rsidP="00212EE6"/>
    <w:p w14:paraId="7A214C2E" w14:textId="77777777" w:rsidR="00E14B3B" w:rsidRDefault="00E14B3B" w:rsidP="00212EE6">
      <w:pPr>
        <w:rPr>
          <w:b/>
          <w:bCs/>
        </w:rPr>
      </w:pPr>
    </w:p>
    <w:p w14:paraId="123A8611" w14:textId="77777777" w:rsidR="00E14B3B" w:rsidRDefault="00E14B3B" w:rsidP="00212EE6">
      <w:pPr>
        <w:rPr>
          <w:b/>
          <w:bCs/>
        </w:rPr>
      </w:pPr>
    </w:p>
    <w:p w14:paraId="5967A86C" w14:textId="0E28A712" w:rsidR="00212EE6" w:rsidRDefault="00212EE6" w:rsidP="00212EE6">
      <w:pPr>
        <w:rPr>
          <w:b/>
          <w:bCs/>
        </w:rPr>
      </w:pPr>
      <w:r w:rsidRPr="00181551">
        <w:rPr>
          <w:b/>
          <w:bCs/>
        </w:rPr>
        <w:t>Questions</w:t>
      </w:r>
      <w:r w:rsidR="00E14B3B">
        <w:rPr>
          <w:b/>
          <w:bCs/>
        </w:rPr>
        <w:t xml:space="preserve"> raised</w:t>
      </w:r>
      <w:r w:rsidRPr="00181551">
        <w:rPr>
          <w:b/>
          <w:bCs/>
        </w:rPr>
        <w:t xml:space="preserve"> during the prebid </w:t>
      </w:r>
      <w:r w:rsidR="00E14B3B">
        <w:rPr>
          <w:b/>
          <w:bCs/>
        </w:rPr>
        <w:t xml:space="preserve">meeting. </w:t>
      </w:r>
    </w:p>
    <w:p w14:paraId="2A822A08" w14:textId="77777777" w:rsidR="00E14B3B" w:rsidRDefault="00E14B3B" w:rsidP="00212EE6">
      <w:pPr>
        <w:rPr>
          <w:b/>
          <w:bCs/>
        </w:rPr>
      </w:pPr>
    </w:p>
    <w:p w14:paraId="5135CA1B" w14:textId="77777777" w:rsidR="00E14B3B" w:rsidRDefault="00E14B3B" w:rsidP="00212EE6">
      <w:pPr>
        <w:rPr>
          <w:b/>
          <w:bCs/>
        </w:rPr>
      </w:pPr>
    </w:p>
    <w:p w14:paraId="22371662" w14:textId="77777777" w:rsidR="00E14B3B" w:rsidRPr="00E14B3B" w:rsidRDefault="00E14B3B" w:rsidP="00212EE6">
      <w:pPr>
        <w:rPr>
          <w:b/>
          <w:bCs/>
        </w:rPr>
      </w:pPr>
    </w:p>
    <w:p w14:paraId="6B0CB9FA" w14:textId="77777777" w:rsidR="00181551" w:rsidRPr="006D2C2B" w:rsidRDefault="00212EE6" w:rsidP="00181551">
      <w:pPr>
        <w:tabs>
          <w:tab w:val="left" w:pos="1080"/>
        </w:tabs>
        <w:rPr>
          <w:b/>
          <w:bCs/>
        </w:rPr>
      </w:pPr>
      <w:r w:rsidRPr="006D2C2B">
        <w:rPr>
          <w:b/>
          <w:bCs/>
        </w:rPr>
        <w:t>Question:</w:t>
      </w:r>
      <w:r w:rsidRPr="006D2C2B">
        <w:rPr>
          <w:b/>
          <w:bCs/>
        </w:rPr>
        <w:tab/>
      </w:r>
    </w:p>
    <w:p w14:paraId="2E685AE2" w14:textId="4374988A" w:rsidR="00181551" w:rsidRPr="00181551" w:rsidRDefault="00181551" w:rsidP="00181551">
      <w:pPr>
        <w:tabs>
          <w:tab w:val="left" w:pos="1080"/>
        </w:tabs>
      </w:pPr>
      <w:r w:rsidRPr="00181551">
        <w:rPr>
          <w:u w:val="single"/>
        </w:rPr>
        <w:t>Building Enclosure Commissioning (BE CxA) Detailed Scope / A. Design Phase / c.:</w:t>
      </w:r>
      <w:r w:rsidRPr="00181551">
        <w:t xml:space="preserve"> Can you further describe “a master progress system” for the enclosure? This is not typical for LEED BECx.</w:t>
      </w:r>
    </w:p>
    <w:p w14:paraId="2B580158" w14:textId="74736B70" w:rsidR="00212EE6" w:rsidRPr="00927031" w:rsidRDefault="00212EE6" w:rsidP="00212EE6">
      <w:pPr>
        <w:tabs>
          <w:tab w:val="left" w:pos="1080"/>
        </w:tabs>
        <w:ind w:left="1080" w:hanging="1080"/>
      </w:pPr>
    </w:p>
    <w:p w14:paraId="6A38484F" w14:textId="3178D2A3" w:rsidR="00212EE6" w:rsidRPr="006D2C2B" w:rsidRDefault="00212EE6" w:rsidP="00212EE6">
      <w:pPr>
        <w:tabs>
          <w:tab w:val="left" w:pos="1080"/>
        </w:tabs>
        <w:ind w:left="1080" w:hanging="1080"/>
        <w:rPr>
          <w:b/>
          <w:bCs/>
        </w:rPr>
      </w:pPr>
      <w:r w:rsidRPr="006D2C2B">
        <w:rPr>
          <w:b/>
          <w:bCs/>
        </w:rPr>
        <w:t>Response:</w:t>
      </w:r>
      <w:r w:rsidRPr="006D2C2B">
        <w:rPr>
          <w:b/>
          <w:bCs/>
        </w:rPr>
        <w:tab/>
        <w:t xml:space="preserve"> </w:t>
      </w:r>
    </w:p>
    <w:p w14:paraId="4760019F" w14:textId="77777777" w:rsidR="00E14B3B" w:rsidRPr="00E14B3B" w:rsidRDefault="00E14B3B" w:rsidP="00E14B3B">
      <w:r w:rsidRPr="00E14B3B">
        <w:t>This a summary tracking the progress of your commissioning process, identifying statuses  for each building component (i.e. Metal Panels, Window Systems, Masonry, etc).</w:t>
      </w:r>
    </w:p>
    <w:p w14:paraId="0C3AF983" w14:textId="77777777" w:rsidR="00212EE6" w:rsidRPr="00927031" w:rsidRDefault="00212EE6" w:rsidP="00E14B3B">
      <w:pPr>
        <w:ind w:left="1080" w:hanging="1080"/>
      </w:pPr>
    </w:p>
    <w:p w14:paraId="3714C5E4" w14:textId="77777777" w:rsidR="00181551" w:rsidRPr="006D2C2B" w:rsidRDefault="00212EE6" w:rsidP="00181551">
      <w:pPr>
        <w:tabs>
          <w:tab w:val="left" w:pos="1080"/>
        </w:tabs>
        <w:rPr>
          <w:b/>
          <w:bCs/>
        </w:rPr>
      </w:pPr>
      <w:r w:rsidRPr="006D2C2B">
        <w:rPr>
          <w:b/>
          <w:bCs/>
        </w:rPr>
        <w:t>Question:</w:t>
      </w:r>
      <w:r w:rsidRPr="006D2C2B">
        <w:rPr>
          <w:b/>
          <w:bCs/>
        </w:rPr>
        <w:tab/>
      </w:r>
    </w:p>
    <w:p w14:paraId="213C22CF" w14:textId="0B96E67B" w:rsidR="00181551" w:rsidRPr="00181551" w:rsidRDefault="00181551" w:rsidP="00181551">
      <w:pPr>
        <w:tabs>
          <w:tab w:val="left" w:pos="1080"/>
        </w:tabs>
      </w:pPr>
      <w:r w:rsidRPr="00181551">
        <w:rPr>
          <w:u w:val="single"/>
        </w:rPr>
        <w:t>Building Enclosure Commissioning (BE CxA) Detailed Scope / C. Construction Phase/f.:</w:t>
      </w:r>
      <w:r w:rsidRPr="00181551">
        <w:t xml:space="preserve"> Can you further describe “an enhanced system check-in plan” for the enclosure materials? Would this require the BECxA to be on-site full-time to track materials? This is not typical for LEED BECx.</w:t>
      </w:r>
    </w:p>
    <w:p w14:paraId="4D82BEE7" w14:textId="1B1023C3" w:rsidR="00212EE6" w:rsidRPr="00927031" w:rsidRDefault="00212EE6" w:rsidP="00212EE6">
      <w:pPr>
        <w:tabs>
          <w:tab w:val="left" w:pos="1080"/>
        </w:tabs>
        <w:ind w:left="1080" w:hanging="1080"/>
      </w:pPr>
    </w:p>
    <w:p w14:paraId="2BE2731E" w14:textId="3997716C" w:rsidR="00212EE6" w:rsidRPr="006D2C2B" w:rsidRDefault="00212EE6" w:rsidP="00212EE6">
      <w:pPr>
        <w:tabs>
          <w:tab w:val="left" w:pos="1080"/>
        </w:tabs>
        <w:ind w:left="1080" w:hanging="1080"/>
        <w:rPr>
          <w:b/>
          <w:bCs/>
        </w:rPr>
      </w:pPr>
      <w:r w:rsidRPr="006D2C2B">
        <w:rPr>
          <w:b/>
          <w:bCs/>
        </w:rPr>
        <w:t>Response:</w:t>
      </w:r>
      <w:r w:rsidRPr="006D2C2B">
        <w:rPr>
          <w:b/>
          <w:bCs/>
        </w:rPr>
        <w:tab/>
        <w:t xml:space="preserve"> </w:t>
      </w:r>
    </w:p>
    <w:p w14:paraId="29671F84" w14:textId="6B50C4F3" w:rsidR="00212EE6" w:rsidRPr="00E14B3B" w:rsidRDefault="00E14B3B" w:rsidP="00E14B3B">
      <w:r w:rsidRPr="00E14B3B">
        <w:t>This is not full time on-site. The intent is to validate materials as they first arrive to the site to ensure the proper systems/materials are delivered.  The timing of site visits will be determined by the schedule provided by the Construction Manager,</w:t>
      </w:r>
    </w:p>
    <w:p w14:paraId="0B392DDB" w14:textId="77777777" w:rsidR="00E14B3B" w:rsidRDefault="00E14B3B" w:rsidP="00181551">
      <w:pPr>
        <w:tabs>
          <w:tab w:val="left" w:pos="1080"/>
        </w:tabs>
        <w:rPr>
          <w:b/>
          <w:bCs/>
        </w:rPr>
      </w:pPr>
    </w:p>
    <w:p w14:paraId="0B5A71AD" w14:textId="59862B54" w:rsidR="00181551" w:rsidRPr="00E14B3B" w:rsidRDefault="00212EE6" w:rsidP="00181551">
      <w:pPr>
        <w:tabs>
          <w:tab w:val="left" w:pos="1080"/>
        </w:tabs>
        <w:rPr>
          <w:b/>
          <w:bCs/>
        </w:rPr>
      </w:pPr>
      <w:r w:rsidRPr="00E14B3B">
        <w:rPr>
          <w:b/>
          <w:bCs/>
        </w:rPr>
        <w:t xml:space="preserve">Question: </w:t>
      </w:r>
      <w:r w:rsidRPr="00E14B3B">
        <w:rPr>
          <w:b/>
          <w:bCs/>
        </w:rPr>
        <w:tab/>
      </w:r>
    </w:p>
    <w:p w14:paraId="2E015D36" w14:textId="7476C46D" w:rsidR="00181551" w:rsidRPr="00E14B3B" w:rsidRDefault="00181551" w:rsidP="00181551">
      <w:pPr>
        <w:tabs>
          <w:tab w:val="left" w:pos="1080"/>
        </w:tabs>
      </w:pPr>
      <w:r w:rsidRPr="00E14B3B">
        <w:rPr>
          <w:u w:val="single"/>
        </w:rPr>
        <w:t>Building Enclosure Commissioning (BE CxA) Detailed Scope / D. Acceptance Phase/a.:</w:t>
      </w:r>
      <w:r w:rsidRPr="00E14B3B">
        <w:t xml:space="preserve"> Enclosure testing is typically performed in the Construction Phase. Should we include testing costs under the Acceptance Phase or the Construction Phase?</w:t>
      </w:r>
    </w:p>
    <w:p w14:paraId="7430C7B8" w14:textId="0561B6CA" w:rsidR="00212EE6" w:rsidRPr="00E14B3B" w:rsidRDefault="00212EE6" w:rsidP="00212EE6">
      <w:pPr>
        <w:tabs>
          <w:tab w:val="left" w:pos="1080"/>
        </w:tabs>
        <w:ind w:left="1080" w:hanging="1080"/>
      </w:pPr>
      <w:r w:rsidRPr="00E14B3B">
        <w:t xml:space="preserve"> </w:t>
      </w:r>
    </w:p>
    <w:p w14:paraId="0E6AC39A" w14:textId="17B171D1" w:rsidR="00212EE6" w:rsidRPr="00E14B3B" w:rsidRDefault="00212EE6" w:rsidP="00212EE6">
      <w:pPr>
        <w:tabs>
          <w:tab w:val="left" w:pos="1080"/>
        </w:tabs>
        <w:ind w:left="1080" w:hanging="1080"/>
        <w:rPr>
          <w:b/>
          <w:bCs/>
        </w:rPr>
      </w:pPr>
      <w:r w:rsidRPr="00E14B3B">
        <w:rPr>
          <w:b/>
          <w:bCs/>
        </w:rPr>
        <w:t>Response:</w:t>
      </w:r>
      <w:r w:rsidRPr="00E14B3B">
        <w:rPr>
          <w:b/>
          <w:bCs/>
        </w:rPr>
        <w:tab/>
        <w:t xml:space="preserve"> </w:t>
      </w:r>
    </w:p>
    <w:p w14:paraId="2C296B68" w14:textId="77777777" w:rsidR="00E14B3B" w:rsidRPr="00E14B3B" w:rsidRDefault="00E14B3B" w:rsidP="00E14B3B">
      <w:r w:rsidRPr="00E14B3B">
        <w:t>The Functional Performance Tests shall be performed upon completion of the enclosure, so we view that as a post construction activity for the building enclosure. Testing will be performed by others, but this scope includes witnessing, monitoring, and reporting on the test process and results.</w:t>
      </w:r>
    </w:p>
    <w:p w14:paraId="30DE91D6" w14:textId="77777777" w:rsidR="00212EE6" w:rsidRDefault="00212EE6" w:rsidP="00212EE6">
      <w:pPr>
        <w:tabs>
          <w:tab w:val="left" w:pos="1080"/>
        </w:tabs>
        <w:ind w:left="1080" w:hanging="1080"/>
      </w:pPr>
    </w:p>
    <w:p w14:paraId="149F3DF0" w14:textId="77777777" w:rsidR="00E14B3B" w:rsidRPr="00E14B3B" w:rsidRDefault="00E14B3B" w:rsidP="00E14B3B">
      <w:pPr>
        <w:tabs>
          <w:tab w:val="left" w:pos="1080"/>
        </w:tabs>
        <w:ind w:left="1080" w:hanging="1080"/>
        <w:rPr>
          <w:b/>
          <w:bCs/>
        </w:rPr>
      </w:pPr>
      <w:r w:rsidRPr="00E14B3B">
        <w:rPr>
          <w:b/>
          <w:bCs/>
        </w:rPr>
        <w:t xml:space="preserve">Question: </w:t>
      </w:r>
      <w:r w:rsidRPr="00E14B3B">
        <w:rPr>
          <w:b/>
          <w:bCs/>
        </w:rPr>
        <w:tab/>
      </w:r>
    </w:p>
    <w:p w14:paraId="3C17E6B2" w14:textId="77777777" w:rsidR="00E14B3B" w:rsidRPr="00E14B3B" w:rsidRDefault="00E14B3B" w:rsidP="00E14B3B">
      <w:r w:rsidRPr="00E14B3B">
        <w:rPr>
          <w:u w:val="single"/>
        </w:rPr>
        <w:t>Building Enclosure Commissioning (BE CxA) Detailed Scope / D. Bidding Phase: No breakout cost for Bidding Phase on Schedule C, where should we allocate that cost?</w:t>
      </w:r>
    </w:p>
    <w:p w14:paraId="7BFA1194" w14:textId="77777777" w:rsidR="00E14B3B" w:rsidRPr="00E14B3B" w:rsidRDefault="00E14B3B" w:rsidP="00E14B3B">
      <w:pPr>
        <w:ind w:hanging="1080"/>
      </w:pPr>
      <w:r w:rsidRPr="00E14B3B">
        <w:t xml:space="preserve"> </w:t>
      </w:r>
    </w:p>
    <w:p w14:paraId="324AAA2F" w14:textId="77777777" w:rsidR="00E14B3B" w:rsidRDefault="00E14B3B" w:rsidP="00E14B3B">
      <w:pPr>
        <w:tabs>
          <w:tab w:val="left" w:pos="1080"/>
        </w:tabs>
        <w:ind w:left="1080" w:hanging="1080"/>
        <w:rPr>
          <w:b/>
          <w:bCs/>
        </w:rPr>
      </w:pPr>
      <w:r w:rsidRPr="00E14B3B">
        <w:rPr>
          <w:b/>
          <w:bCs/>
        </w:rPr>
        <w:t xml:space="preserve">Response: </w:t>
      </w:r>
    </w:p>
    <w:p w14:paraId="57AEBC63" w14:textId="77777777" w:rsidR="00E14B3B" w:rsidRPr="00E14B3B" w:rsidRDefault="00E14B3B" w:rsidP="00E14B3B">
      <w:pPr>
        <w:tabs>
          <w:tab w:val="left" w:pos="1080"/>
        </w:tabs>
        <w:ind w:left="1080" w:hanging="1080"/>
      </w:pPr>
      <w:r w:rsidRPr="00E14B3B">
        <w:t>Bidding Phase to be included in the lump sum for Design Phase services.</w:t>
      </w:r>
      <w:r w:rsidRPr="00E14B3B">
        <w:tab/>
        <w:t xml:space="preserve"> </w:t>
      </w:r>
    </w:p>
    <w:p w14:paraId="658D7CA2" w14:textId="77777777" w:rsidR="00212EE6" w:rsidRPr="00927031" w:rsidRDefault="00212EE6" w:rsidP="00212EE6">
      <w:pPr>
        <w:tabs>
          <w:tab w:val="left" w:pos="1080"/>
        </w:tabs>
        <w:ind w:left="1080" w:hanging="1080"/>
      </w:pPr>
    </w:p>
    <w:p w14:paraId="7227BFFF" w14:textId="77777777" w:rsidR="00181551" w:rsidRPr="006D2C2B" w:rsidRDefault="00212EE6" w:rsidP="00181551">
      <w:pPr>
        <w:tabs>
          <w:tab w:val="left" w:pos="1080"/>
        </w:tabs>
        <w:rPr>
          <w:b/>
          <w:bCs/>
        </w:rPr>
      </w:pPr>
      <w:r w:rsidRPr="006D2C2B">
        <w:rPr>
          <w:b/>
          <w:bCs/>
        </w:rPr>
        <w:t>Question:</w:t>
      </w:r>
      <w:r w:rsidRPr="006D2C2B">
        <w:rPr>
          <w:b/>
          <w:bCs/>
        </w:rPr>
        <w:tab/>
      </w:r>
    </w:p>
    <w:p w14:paraId="745DD238" w14:textId="0CBAB7BF" w:rsidR="00181551" w:rsidRPr="00181551" w:rsidRDefault="00181551" w:rsidP="00181551">
      <w:pPr>
        <w:tabs>
          <w:tab w:val="left" w:pos="1080"/>
        </w:tabs>
      </w:pPr>
      <w:r w:rsidRPr="00181551">
        <w:rPr>
          <w:u w:val="single"/>
        </w:rPr>
        <w:t>Building Enclosure Commissioning (BE CxA) Detailed Scope / F. Systems to be Commissioned / i.</w:t>
      </w:r>
      <w:r w:rsidRPr="00181551">
        <w:t>: Can you clarify the type of testing for waterproofing and dampproofing? Please provide an ASTM or industry test number if applicable.</w:t>
      </w:r>
    </w:p>
    <w:p w14:paraId="7FF32E09" w14:textId="4E56A567" w:rsidR="00212EE6" w:rsidRPr="00927031" w:rsidRDefault="00212EE6" w:rsidP="00212EE6">
      <w:pPr>
        <w:tabs>
          <w:tab w:val="left" w:pos="1080"/>
        </w:tabs>
        <w:ind w:left="1080" w:hanging="1080"/>
        <w:rPr>
          <w:color w:val="FF0000"/>
        </w:rPr>
      </w:pPr>
    </w:p>
    <w:p w14:paraId="2F3A11A5" w14:textId="77777777" w:rsidR="00212EE6" w:rsidRPr="006D2C2B" w:rsidRDefault="00212EE6" w:rsidP="00212EE6">
      <w:pPr>
        <w:tabs>
          <w:tab w:val="left" w:pos="1080"/>
        </w:tabs>
        <w:ind w:left="1080" w:hanging="1080"/>
        <w:rPr>
          <w:b/>
          <w:bCs/>
        </w:rPr>
      </w:pPr>
      <w:r w:rsidRPr="006D2C2B">
        <w:rPr>
          <w:b/>
          <w:bCs/>
        </w:rPr>
        <w:t>Response:</w:t>
      </w:r>
      <w:r w:rsidRPr="006D2C2B">
        <w:rPr>
          <w:b/>
          <w:bCs/>
        </w:rPr>
        <w:tab/>
      </w:r>
    </w:p>
    <w:p w14:paraId="61C3C2E0" w14:textId="184D6F10" w:rsidR="00212EE6" w:rsidRPr="00E14B3B" w:rsidRDefault="00E14B3B" w:rsidP="00212EE6">
      <w:pPr>
        <w:tabs>
          <w:tab w:val="left" w:pos="1080"/>
        </w:tabs>
        <w:ind w:left="1080" w:hanging="1080"/>
      </w:pPr>
      <w:r w:rsidRPr="00E14B3B">
        <w:t>To be determined by Commissioning Agent.</w:t>
      </w:r>
    </w:p>
    <w:p w14:paraId="05B30017" w14:textId="77777777" w:rsidR="00E14B3B" w:rsidRDefault="00E14B3B" w:rsidP="00212EE6">
      <w:pPr>
        <w:tabs>
          <w:tab w:val="left" w:pos="1080"/>
        </w:tabs>
        <w:ind w:left="1080" w:hanging="1080"/>
        <w:rPr>
          <w:b/>
          <w:bCs/>
        </w:rPr>
      </w:pPr>
    </w:p>
    <w:p w14:paraId="4BF9669E" w14:textId="66DEA028" w:rsidR="00181551" w:rsidRPr="006D2C2B" w:rsidRDefault="00212EE6" w:rsidP="00212EE6">
      <w:pPr>
        <w:tabs>
          <w:tab w:val="left" w:pos="1080"/>
        </w:tabs>
        <w:ind w:left="1080" w:hanging="1080"/>
        <w:rPr>
          <w:b/>
          <w:bCs/>
        </w:rPr>
      </w:pPr>
      <w:r w:rsidRPr="006D2C2B">
        <w:rPr>
          <w:b/>
          <w:bCs/>
        </w:rPr>
        <w:t>Question:</w:t>
      </w:r>
      <w:r w:rsidRPr="006D2C2B">
        <w:rPr>
          <w:b/>
          <w:bCs/>
        </w:rPr>
        <w:tab/>
      </w:r>
    </w:p>
    <w:p w14:paraId="2E1806B5" w14:textId="63EE672F" w:rsidR="00212EE6" w:rsidRPr="00927031" w:rsidRDefault="00212EE6" w:rsidP="00212EE6">
      <w:pPr>
        <w:tabs>
          <w:tab w:val="left" w:pos="1080"/>
        </w:tabs>
        <w:ind w:left="1080" w:hanging="1080"/>
      </w:pPr>
      <w:r w:rsidRPr="00927031">
        <w:t>Is there an Owner Project Requirements (OPR) published?  Is it being required by the commissioning agent?</w:t>
      </w:r>
    </w:p>
    <w:p w14:paraId="43816279" w14:textId="77777777" w:rsidR="00181551" w:rsidRDefault="00181551" w:rsidP="00E14B3B">
      <w:pPr>
        <w:ind w:left="1080" w:hanging="1080"/>
      </w:pPr>
    </w:p>
    <w:p w14:paraId="6AC626D7" w14:textId="39E28E7F" w:rsidR="00212EE6" w:rsidRPr="006D2C2B" w:rsidRDefault="00212EE6" w:rsidP="00212EE6">
      <w:pPr>
        <w:tabs>
          <w:tab w:val="left" w:pos="1080"/>
        </w:tabs>
        <w:ind w:left="1080" w:hanging="1080"/>
        <w:rPr>
          <w:b/>
          <w:bCs/>
        </w:rPr>
      </w:pPr>
      <w:r w:rsidRPr="006D2C2B">
        <w:rPr>
          <w:b/>
          <w:bCs/>
        </w:rPr>
        <w:t>Response:</w:t>
      </w:r>
      <w:r w:rsidRPr="006D2C2B">
        <w:rPr>
          <w:b/>
          <w:bCs/>
        </w:rPr>
        <w:tab/>
        <w:t xml:space="preserve"> </w:t>
      </w:r>
    </w:p>
    <w:p w14:paraId="34CC0267" w14:textId="77777777" w:rsidR="00E14B3B" w:rsidRPr="00E14B3B" w:rsidRDefault="00E14B3B" w:rsidP="00E14B3B">
      <w:pPr>
        <w:tabs>
          <w:tab w:val="left" w:pos="0"/>
        </w:tabs>
      </w:pPr>
      <w:r w:rsidRPr="00E14B3B">
        <w:t>This item shall be added to the Design Phase Scope of work, prior to commencement of the commissioning plan.  The CxA will be required to work in collaboration with WSU and the design team.</w:t>
      </w:r>
    </w:p>
    <w:p w14:paraId="4ECD052F" w14:textId="77777777" w:rsidR="00212EE6" w:rsidRPr="00927031" w:rsidRDefault="00212EE6" w:rsidP="00212EE6">
      <w:pPr>
        <w:tabs>
          <w:tab w:val="left" w:pos="1080"/>
        </w:tabs>
        <w:ind w:left="1080" w:hanging="1080"/>
      </w:pPr>
    </w:p>
    <w:p w14:paraId="30A49B8B" w14:textId="77777777" w:rsidR="00181551" w:rsidRPr="006D2C2B" w:rsidRDefault="00212EE6" w:rsidP="00212EE6">
      <w:pPr>
        <w:tabs>
          <w:tab w:val="left" w:pos="1080"/>
        </w:tabs>
        <w:ind w:left="1080" w:hanging="1080"/>
        <w:rPr>
          <w:b/>
          <w:bCs/>
        </w:rPr>
      </w:pPr>
      <w:r w:rsidRPr="006D2C2B">
        <w:rPr>
          <w:b/>
          <w:bCs/>
        </w:rPr>
        <w:t>Question:</w:t>
      </w:r>
      <w:r w:rsidRPr="006D2C2B">
        <w:rPr>
          <w:b/>
          <w:bCs/>
        </w:rPr>
        <w:tab/>
      </w:r>
    </w:p>
    <w:p w14:paraId="2A4CB850" w14:textId="3116E373" w:rsidR="00212EE6" w:rsidRPr="00927031" w:rsidRDefault="00181551" w:rsidP="00212EE6">
      <w:pPr>
        <w:tabs>
          <w:tab w:val="left" w:pos="1080"/>
        </w:tabs>
        <w:ind w:left="1080" w:hanging="1080"/>
      </w:pPr>
      <w:r>
        <w:t>Can you please c</w:t>
      </w:r>
      <w:r w:rsidR="00212EE6" w:rsidRPr="00927031">
        <w:t xml:space="preserve">onfirm that this is LEED </w:t>
      </w:r>
      <w:r w:rsidR="00212EE6" w:rsidRPr="00181551">
        <w:t>4.2/1.2</w:t>
      </w:r>
      <w:r w:rsidR="006D2C2B">
        <w:t>?</w:t>
      </w:r>
    </w:p>
    <w:p w14:paraId="523B64E6" w14:textId="77777777" w:rsidR="00181551" w:rsidRDefault="00181551" w:rsidP="00212EE6">
      <w:pPr>
        <w:tabs>
          <w:tab w:val="left" w:pos="1080"/>
        </w:tabs>
        <w:ind w:left="1080" w:hanging="1080"/>
      </w:pPr>
    </w:p>
    <w:p w14:paraId="5C479F8A" w14:textId="05917356" w:rsidR="00212EE6" w:rsidRPr="006D2C2B" w:rsidRDefault="00212EE6" w:rsidP="00212EE6">
      <w:pPr>
        <w:tabs>
          <w:tab w:val="left" w:pos="1080"/>
        </w:tabs>
        <w:ind w:left="1080" w:hanging="1080"/>
        <w:rPr>
          <w:b/>
          <w:bCs/>
        </w:rPr>
      </w:pPr>
      <w:r w:rsidRPr="006D2C2B">
        <w:rPr>
          <w:b/>
          <w:bCs/>
        </w:rPr>
        <w:t>Response:</w:t>
      </w:r>
      <w:r w:rsidRPr="006D2C2B">
        <w:rPr>
          <w:b/>
          <w:bCs/>
        </w:rPr>
        <w:tab/>
      </w:r>
      <w:r w:rsidR="00181551" w:rsidRPr="006D2C2B">
        <w:rPr>
          <w:b/>
          <w:bCs/>
        </w:rPr>
        <w:t xml:space="preserve"> </w:t>
      </w:r>
    </w:p>
    <w:p w14:paraId="42C0601A" w14:textId="5C8F0B6B" w:rsidR="00212EE6" w:rsidRPr="00E14B3B" w:rsidRDefault="00E14B3B" w:rsidP="00212EE6">
      <w:pPr>
        <w:tabs>
          <w:tab w:val="left" w:pos="1080"/>
        </w:tabs>
        <w:ind w:left="1080" w:hanging="1080"/>
      </w:pPr>
      <w:r w:rsidRPr="00E14B3B">
        <w:t>Confirmed as LEED 4.1</w:t>
      </w:r>
    </w:p>
    <w:p w14:paraId="2622E696" w14:textId="77777777" w:rsidR="00E14B3B" w:rsidRDefault="00E14B3B" w:rsidP="00212EE6">
      <w:pPr>
        <w:tabs>
          <w:tab w:val="left" w:pos="1080"/>
        </w:tabs>
        <w:ind w:left="1080" w:hanging="1080"/>
        <w:rPr>
          <w:b/>
          <w:bCs/>
        </w:rPr>
      </w:pPr>
    </w:p>
    <w:p w14:paraId="64D34BD0" w14:textId="77777777" w:rsidR="00133030" w:rsidRDefault="00133030" w:rsidP="00212EE6">
      <w:pPr>
        <w:tabs>
          <w:tab w:val="left" w:pos="1080"/>
        </w:tabs>
        <w:ind w:left="1080" w:hanging="1080"/>
        <w:rPr>
          <w:b/>
          <w:bCs/>
        </w:rPr>
      </w:pPr>
    </w:p>
    <w:p w14:paraId="2286F949" w14:textId="77777777" w:rsidR="00133030" w:rsidRDefault="00133030" w:rsidP="00212EE6">
      <w:pPr>
        <w:tabs>
          <w:tab w:val="left" w:pos="1080"/>
        </w:tabs>
        <w:ind w:left="1080" w:hanging="1080"/>
        <w:rPr>
          <w:b/>
          <w:bCs/>
        </w:rPr>
      </w:pPr>
    </w:p>
    <w:p w14:paraId="353EAEEE" w14:textId="19105484" w:rsidR="006D2C2B" w:rsidRPr="006D2C2B" w:rsidRDefault="00212EE6" w:rsidP="00212EE6">
      <w:pPr>
        <w:tabs>
          <w:tab w:val="left" w:pos="1080"/>
        </w:tabs>
        <w:ind w:left="1080" w:hanging="1080"/>
        <w:rPr>
          <w:b/>
          <w:bCs/>
        </w:rPr>
      </w:pPr>
      <w:r w:rsidRPr="006D2C2B">
        <w:rPr>
          <w:b/>
          <w:bCs/>
        </w:rPr>
        <w:t>Question:</w:t>
      </w:r>
      <w:r w:rsidRPr="006D2C2B">
        <w:rPr>
          <w:b/>
          <w:bCs/>
        </w:rPr>
        <w:tab/>
      </w:r>
    </w:p>
    <w:p w14:paraId="69339FA8" w14:textId="49F75DCC" w:rsidR="00212EE6" w:rsidRPr="00927031" w:rsidRDefault="00212EE6" w:rsidP="006D2C2B">
      <w:r w:rsidRPr="00927031">
        <w:t>RFP says Occupancy in Q2 of 2027, but substantial completion in March of 2028.  Does this mean construction is to b</w:t>
      </w:r>
      <w:r w:rsidR="006D2C2B">
        <w:t xml:space="preserve">e </w:t>
      </w:r>
      <w:r w:rsidRPr="00927031">
        <w:t>completed by Q2 of 2027?</w:t>
      </w:r>
    </w:p>
    <w:p w14:paraId="7F729A33" w14:textId="77777777" w:rsidR="006D2C2B" w:rsidRDefault="006D2C2B" w:rsidP="00212EE6">
      <w:pPr>
        <w:tabs>
          <w:tab w:val="left" w:pos="1080"/>
        </w:tabs>
        <w:ind w:left="1080" w:hanging="1080"/>
      </w:pPr>
    </w:p>
    <w:p w14:paraId="17A94A3C" w14:textId="77777777" w:rsidR="006D2C2B" w:rsidRPr="006D2C2B" w:rsidRDefault="00212EE6" w:rsidP="00212EE6">
      <w:pPr>
        <w:tabs>
          <w:tab w:val="left" w:pos="1080"/>
        </w:tabs>
        <w:ind w:left="1080" w:hanging="1080"/>
        <w:rPr>
          <w:b/>
          <w:bCs/>
        </w:rPr>
      </w:pPr>
      <w:r w:rsidRPr="006D2C2B">
        <w:rPr>
          <w:b/>
          <w:bCs/>
        </w:rPr>
        <w:t>Response:</w:t>
      </w:r>
      <w:r w:rsidRPr="006D2C2B">
        <w:rPr>
          <w:b/>
          <w:bCs/>
        </w:rPr>
        <w:tab/>
      </w:r>
    </w:p>
    <w:p w14:paraId="7C80E48B" w14:textId="1E61593D" w:rsidR="00212EE6" w:rsidRPr="00927031" w:rsidRDefault="00212EE6" w:rsidP="00212EE6">
      <w:pPr>
        <w:tabs>
          <w:tab w:val="left" w:pos="1080"/>
        </w:tabs>
        <w:ind w:left="1080" w:hanging="1080"/>
      </w:pPr>
      <w:r>
        <w:t>The 2027 date is a typo.  Both are to be in 2028.</w:t>
      </w:r>
    </w:p>
    <w:p w14:paraId="77CC93A4" w14:textId="77777777" w:rsidR="00212EE6" w:rsidRDefault="00212EE6" w:rsidP="00212EE6">
      <w:pPr>
        <w:tabs>
          <w:tab w:val="left" w:pos="1080"/>
        </w:tabs>
        <w:ind w:left="1080" w:hanging="1080"/>
      </w:pPr>
    </w:p>
    <w:p w14:paraId="137F8356" w14:textId="77777777" w:rsidR="006D2C2B" w:rsidRPr="006D2C2B" w:rsidRDefault="00212EE6" w:rsidP="00212EE6">
      <w:pPr>
        <w:tabs>
          <w:tab w:val="left" w:pos="1080"/>
        </w:tabs>
        <w:ind w:left="1080" w:hanging="1080"/>
        <w:rPr>
          <w:b/>
          <w:bCs/>
        </w:rPr>
      </w:pPr>
      <w:r w:rsidRPr="006D2C2B">
        <w:rPr>
          <w:b/>
          <w:bCs/>
        </w:rPr>
        <w:t>Question:</w:t>
      </w:r>
      <w:r w:rsidRPr="006D2C2B">
        <w:rPr>
          <w:b/>
          <w:bCs/>
        </w:rPr>
        <w:tab/>
      </w:r>
    </w:p>
    <w:p w14:paraId="7E48F130" w14:textId="6A928EDC" w:rsidR="00212EE6" w:rsidRPr="00927031" w:rsidRDefault="00181551" w:rsidP="006D2C2B">
      <w:r w:rsidRPr="00181551">
        <w:t>Can we request a change in the limits of insurance coverage as the ones listed are higher than what we as commissioning providers typically carry? As the CxA, we are neither the constructor, nor designer of record, and our standard insurance limits are widely accepted in the commissioning industry.</w:t>
      </w:r>
    </w:p>
    <w:p w14:paraId="732D33BE" w14:textId="77777777" w:rsidR="006D2C2B" w:rsidRDefault="006D2C2B" w:rsidP="00212EE6">
      <w:pPr>
        <w:tabs>
          <w:tab w:val="left" w:pos="1080"/>
        </w:tabs>
        <w:ind w:left="1080" w:hanging="1080"/>
      </w:pPr>
    </w:p>
    <w:p w14:paraId="51B5D347" w14:textId="77777777" w:rsidR="006D2C2B" w:rsidRPr="006D2C2B" w:rsidRDefault="00212EE6" w:rsidP="00212EE6">
      <w:pPr>
        <w:tabs>
          <w:tab w:val="left" w:pos="1080"/>
        </w:tabs>
        <w:ind w:left="1080" w:hanging="1080"/>
        <w:rPr>
          <w:b/>
          <w:bCs/>
        </w:rPr>
      </w:pPr>
      <w:r w:rsidRPr="006D2C2B">
        <w:rPr>
          <w:b/>
          <w:bCs/>
        </w:rPr>
        <w:t>Response:</w:t>
      </w:r>
      <w:r w:rsidRPr="006D2C2B">
        <w:rPr>
          <w:b/>
          <w:bCs/>
        </w:rPr>
        <w:tab/>
      </w:r>
    </w:p>
    <w:p w14:paraId="4F59ACF5" w14:textId="170C661B" w:rsidR="00212EE6" w:rsidRDefault="00212EE6" w:rsidP="006D2C2B">
      <w:r>
        <w:t xml:space="preserve">The vendor can propose alternate levels, but Risk Management will have to approve it before we can accept the alternate levels. </w:t>
      </w:r>
    </w:p>
    <w:p w14:paraId="3E4D09D9" w14:textId="77777777" w:rsidR="00212EE6" w:rsidRDefault="00212EE6" w:rsidP="00212EE6">
      <w:pPr>
        <w:tabs>
          <w:tab w:val="left" w:pos="1080"/>
        </w:tabs>
        <w:ind w:left="1080" w:hanging="1080"/>
      </w:pPr>
    </w:p>
    <w:p w14:paraId="4DC927A2" w14:textId="77777777" w:rsidR="006D2C2B" w:rsidRPr="006D2C2B" w:rsidRDefault="00212EE6" w:rsidP="00212EE6">
      <w:pPr>
        <w:tabs>
          <w:tab w:val="left" w:pos="1080"/>
        </w:tabs>
        <w:ind w:left="1080" w:hanging="1080"/>
        <w:rPr>
          <w:b/>
          <w:bCs/>
        </w:rPr>
      </w:pPr>
      <w:r w:rsidRPr="006D2C2B">
        <w:rPr>
          <w:b/>
          <w:bCs/>
        </w:rPr>
        <w:t>Question:</w:t>
      </w:r>
      <w:r w:rsidRPr="006D2C2B">
        <w:rPr>
          <w:b/>
          <w:bCs/>
        </w:rPr>
        <w:tab/>
      </w:r>
    </w:p>
    <w:p w14:paraId="2C7F9151" w14:textId="267E28D2" w:rsidR="00212EE6" w:rsidRDefault="00212EE6" w:rsidP="00212EE6">
      <w:pPr>
        <w:tabs>
          <w:tab w:val="left" w:pos="1080"/>
        </w:tabs>
        <w:ind w:left="1080" w:hanging="1080"/>
      </w:pPr>
      <w:r>
        <w:t>Clarification on the mockup</w:t>
      </w:r>
      <w:r w:rsidR="006D2C2B">
        <w:t>:</w:t>
      </w:r>
      <w:r>
        <w:t xml:space="preserve"> Are they on WSU campus or somewhere else</w:t>
      </w:r>
      <w:r w:rsidR="006D2C2B">
        <w:t>?</w:t>
      </w:r>
    </w:p>
    <w:p w14:paraId="28D68EB3" w14:textId="77777777" w:rsidR="006D2C2B" w:rsidRDefault="006D2C2B" w:rsidP="00212EE6">
      <w:pPr>
        <w:tabs>
          <w:tab w:val="left" w:pos="1080"/>
        </w:tabs>
        <w:ind w:left="1080" w:hanging="1080"/>
      </w:pPr>
    </w:p>
    <w:p w14:paraId="3EB1466B" w14:textId="77777777" w:rsidR="006D2C2B" w:rsidRPr="006D2C2B" w:rsidRDefault="00212EE6" w:rsidP="00212EE6">
      <w:pPr>
        <w:tabs>
          <w:tab w:val="left" w:pos="1080"/>
        </w:tabs>
        <w:ind w:left="1080" w:hanging="1080"/>
        <w:rPr>
          <w:b/>
          <w:bCs/>
        </w:rPr>
      </w:pPr>
      <w:r w:rsidRPr="006D2C2B">
        <w:rPr>
          <w:b/>
          <w:bCs/>
        </w:rPr>
        <w:t>Response:</w:t>
      </w:r>
      <w:r w:rsidRPr="006D2C2B">
        <w:rPr>
          <w:b/>
          <w:bCs/>
        </w:rPr>
        <w:tab/>
      </w:r>
    </w:p>
    <w:p w14:paraId="011B41AD" w14:textId="77777777" w:rsidR="00E14B3B" w:rsidRPr="00E14B3B" w:rsidRDefault="00E14B3B" w:rsidP="00E14B3B">
      <w:r w:rsidRPr="00E14B3B">
        <w:t>The University would prefer to get them on WSU campus.  However, schedule constraints may change this answer. Travel costs would be treated as reimbursable to this contract.</w:t>
      </w:r>
    </w:p>
    <w:p w14:paraId="71D2B3B5" w14:textId="77777777" w:rsidR="00212EE6" w:rsidRDefault="00212EE6" w:rsidP="00212EE6">
      <w:pPr>
        <w:tabs>
          <w:tab w:val="left" w:pos="1080"/>
        </w:tabs>
        <w:ind w:left="1080" w:hanging="1080"/>
      </w:pPr>
    </w:p>
    <w:p w14:paraId="0F1C29CE" w14:textId="77777777" w:rsidR="006D2C2B" w:rsidRPr="006D2C2B" w:rsidRDefault="00212EE6" w:rsidP="00212EE6">
      <w:pPr>
        <w:tabs>
          <w:tab w:val="left" w:pos="1080"/>
        </w:tabs>
        <w:ind w:left="1080" w:hanging="1080"/>
        <w:rPr>
          <w:b/>
          <w:bCs/>
        </w:rPr>
      </w:pPr>
      <w:r w:rsidRPr="006D2C2B">
        <w:rPr>
          <w:b/>
          <w:bCs/>
        </w:rPr>
        <w:t>Question:</w:t>
      </w:r>
      <w:r w:rsidRPr="006D2C2B">
        <w:rPr>
          <w:b/>
          <w:bCs/>
        </w:rPr>
        <w:tab/>
      </w:r>
    </w:p>
    <w:p w14:paraId="7578A3E0" w14:textId="77777777" w:rsidR="00ED7648" w:rsidRPr="00ED7648" w:rsidRDefault="00ED7648" w:rsidP="00ED7648">
      <w:r w:rsidRPr="00ED7648">
        <w:t>Is the intent of the University to have two separate Cx teams (one for MEP and one for Enclosure) or is it preferred to have one firm do both scopes?</w:t>
      </w:r>
    </w:p>
    <w:p w14:paraId="315B99D4" w14:textId="77777777" w:rsidR="006D2C2B" w:rsidRDefault="006D2C2B" w:rsidP="00212EE6">
      <w:pPr>
        <w:tabs>
          <w:tab w:val="left" w:pos="1080"/>
        </w:tabs>
        <w:ind w:left="1080" w:hanging="1080"/>
      </w:pPr>
    </w:p>
    <w:p w14:paraId="206C991B" w14:textId="77777777" w:rsidR="006D2C2B" w:rsidRPr="006D2C2B" w:rsidRDefault="00212EE6" w:rsidP="00212EE6">
      <w:pPr>
        <w:tabs>
          <w:tab w:val="left" w:pos="1080"/>
        </w:tabs>
        <w:ind w:left="1080" w:hanging="1080"/>
        <w:rPr>
          <w:b/>
          <w:bCs/>
        </w:rPr>
      </w:pPr>
      <w:r w:rsidRPr="006D2C2B">
        <w:rPr>
          <w:b/>
          <w:bCs/>
        </w:rPr>
        <w:t>Response:</w:t>
      </w:r>
      <w:r w:rsidRPr="006D2C2B">
        <w:rPr>
          <w:b/>
          <w:bCs/>
        </w:rPr>
        <w:tab/>
      </w:r>
    </w:p>
    <w:p w14:paraId="62F504CA" w14:textId="22292B3D" w:rsidR="00212EE6" w:rsidRPr="00927031" w:rsidRDefault="00212EE6" w:rsidP="006D2C2B">
      <w:r>
        <w:t xml:space="preserve">The University reserves the right to have one vendor or two, depending on the bids and the qualifications of the responding vendors.  </w:t>
      </w:r>
    </w:p>
    <w:p w14:paraId="6CC5A307" w14:textId="77777777" w:rsidR="00212EE6" w:rsidRDefault="00212EE6" w:rsidP="00212EE6">
      <w:pPr>
        <w:tabs>
          <w:tab w:val="left" w:pos="1080"/>
        </w:tabs>
        <w:ind w:left="1080" w:hanging="1080"/>
      </w:pPr>
    </w:p>
    <w:p w14:paraId="0EDC9E7D" w14:textId="77777777" w:rsidR="006D2C2B" w:rsidRPr="006D2C2B" w:rsidRDefault="00212EE6" w:rsidP="00212EE6">
      <w:pPr>
        <w:tabs>
          <w:tab w:val="left" w:pos="1080"/>
        </w:tabs>
        <w:ind w:left="1080" w:hanging="1080"/>
        <w:rPr>
          <w:b/>
          <w:bCs/>
        </w:rPr>
      </w:pPr>
      <w:r w:rsidRPr="006D2C2B">
        <w:rPr>
          <w:b/>
          <w:bCs/>
        </w:rPr>
        <w:t>Question:</w:t>
      </w:r>
      <w:r w:rsidRPr="006D2C2B">
        <w:rPr>
          <w:b/>
          <w:bCs/>
        </w:rPr>
        <w:tab/>
      </w:r>
    </w:p>
    <w:p w14:paraId="750C4817" w14:textId="28278316" w:rsidR="00212EE6" w:rsidRDefault="00212EE6" w:rsidP="00212EE6">
      <w:pPr>
        <w:tabs>
          <w:tab w:val="left" w:pos="1080"/>
        </w:tabs>
        <w:ind w:left="1080" w:hanging="1080"/>
      </w:pPr>
      <w:r>
        <w:t>Will we consider an extension to the bid due date?</w:t>
      </w:r>
    </w:p>
    <w:p w14:paraId="0F138B66" w14:textId="77777777" w:rsidR="006D2C2B" w:rsidRDefault="006D2C2B" w:rsidP="00212EE6">
      <w:pPr>
        <w:tabs>
          <w:tab w:val="left" w:pos="1080"/>
        </w:tabs>
        <w:ind w:left="1080" w:hanging="1080"/>
      </w:pPr>
    </w:p>
    <w:p w14:paraId="132F7327" w14:textId="77777777" w:rsidR="006D2C2B" w:rsidRPr="006D2C2B" w:rsidRDefault="00212EE6" w:rsidP="00212EE6">
      <w:pPr>
        <w:tabs>
          <w:tab w:val="left" w:pos="1080"/>
        </w:tabs>
        <w:ind w:left="1080" w:hanging="1080"/>
        <w:rPr>
          <w:b/>
          <w:bCs/>
        </w:rPr>
      </w:pPr>
      <w:r w:rsidRPr="006D2C2B">
        <w:rPr>
          <w:b/>
          <w:bCs/>
        </w:rPr>
        <w:t>Response:</w:t>
      </w:r>
      <w:r w:rsidRPr="006D2C2B">
        <w:rPr>
          <w:b/>
          <w:bCs/>
        </w:rPr>
        <w:tab/>
      </w:r>
    </w:p>
    <w:p w14:paraId="5517DAAD" w14:textId="4DE70B79" w:rsidR="00212EE6" w:rsidRDefault="00133030" w:rsidP="00212EE6">
      <w:r w:rsidRPr="00133030">
        <w:t xml:space="preserve">Bid has been extended.  </w:t>
      </w:r>
      <w:r w:rsidRPr="00133030">
        <w:rPr>
          <w:b/>
        </w:rPr>
        <w:t>Bids are now due by electronic submission on</w:t>
      </w:r>
      <w:r w:rsidRPr="00133030">
        <w:t xml:space="preserve"> no later than 2:00 p.m., </w:t>
      </w:r>
      <w:r w:rsidRPr="00133030">
        <w:rPr>
          <w:b/>
        </w:rPr>
        <w:t>April 4, 2025.</w:t>
      </w:r>
    </w:p>
    <w:p w14:paraId="5A8059DC" w14:textId="77777777" w:rsidR="00133030" w:rsidRDefault="00133030" w:rsidP="00FE36CD">
      <w:pPr>
        <w:rPr>
          <w:b/>
          <w:bCs/>
        </w:rPr>
      </w:pPr>
    </w:p>
    <w:p w14:paraId="5DB64CEF" w14:textId="75E12CCB" w:rsidR="00FE36CD" w:rsidRDefault="00FE36CD" w:rsidP="00FE36CD">
      <w:r w:rsidRPr="00FE36CD">
        <w:rPr>
          <w:b/>
          <w:bCs/>
        </w:rPr>
        <w:t>Question:</w:t>
      </w:r>
      <w:r w:rsidRPr="00FE36CD">
        <w:t xml:space="preserve"> </w:t>
      </w:r>
    </w:p>
    <w:p w14:paraId="380E13F5" w14:textId="7BF0BE02" w:rsidR="00FE36CD" w:rsidRPr="00FE36CD" w:rsidRDefault="00FE36CD" w:rsidP="00FE36CD">
      <w:r w:rsidRPr="00FE36CD">
        <w:t>Is it the intent of the RFP for firms to provide their own MBCx software or simply integrate the building into monitoring software currently being used by Wayne State University? Who is responsible to cover the cost of the monitoring software points/licenses for this building?</w:t>
      </w:r>
    </w:p>
    <w:p w14:paraId="0F207FB7" w14:textId="77777777" w:rsidR="00FE36CD" w:rsidRDefault="00FE36CD" w:rsidP="00FE36CD"/>
    <w:p w14:paraId="0592B80B" w14:textId="68AB233C" w:rsidR="00FE36CD" w:rsidRDefault="00FE36CD" w:rsidP="00FE36CD">
      <w:pPr>
        <w:rPr>
          <w:b/>
          <w:bCs/>
        </w:rPr>
      </w:pPr>
      <w:r w:rsidRPr="006D2C2B">
        <w:rPr>
          <w:b/>
          <w:bCs/>
        </w:rPr>
        <w:t>Response:</w:t>
      </w:r>
    </w:p>
    <w:p w14:paraId="55C922A7" w14:textId="09B7675B" w:rsidR="00FE36CD" w:rsidRPr="00FE36CD" w:rsidRDefault="00E14B3B" w:rsidP="00FE36CD">
      <w:r w:rsidRPr="00E14B3B">
        <w:t>WSU will assume responsibility for software costs and licenses. Ideally, over the next several years WSU will develop an MBCx program in partnership with a software vendor to identify energy savings opportunities, validate building performance, identify out of sequence operations, and perform predictive maintenance on equipment. Therefore, the intent will be for this project to use a MBCx platform already being utilized by WSU.  However, existing contracts and relationships may change between this RFP and project completion, therefore the chosen CxA will be responsible for communicating with WSU FP&amp;M staff throughout project design and construction to confirm vendor relationships and software preferences. If it is determined that WSU will no longer be under contract with an MBCx software vendor when software integration with the building automation system is required, then the CxA may be asked to provide vendor recommendations. </w:t>
      </w:r>
    </w:p>
    <w:p w14:paraId="50658179" w14:textId="77777777" w:rsidR="00E14B3B" w:rsidRDefault="00E14B3B" w:rsidP="00FE36CD">
      <w:pPr>
        <w:rPr>
          <w:b/>
          <w:bCs/>
        </w:rPr>
      </w:pPr>
    </w:p>
    <w:p w14:paraId="14C9285D" w14:textId="4E69EAE7" w:rsidR="00FE36CD" w:rsidRDefault="00FE36CD" w:rsidP="00FE36CD">
      <w:pPr>
        <w:rPr>
          <w:b/>
          <w:bCs/>
        </w:rPr>
      </w:pPr>
      <w:r w:rsidRPr="00FE36CD">
        <w:rPr>
          <w:b/>
          <w:bCs/>
        </w:rPr>
        <w:t>Question:</w:t>
      </w:r>
    </w:p>
    <w:p w14:paraId="6CD03D8F" w14:textId="041E23EC" w:rsidR="00FE36CD" w:rsidRPr="00FE36CD" w:rsidRDefault="00FE36CD" w:rsidP="00FE36CD">
      <w:r w:rsidRPr="00FE36CD">
        <w:t>If firms are to provide their own MBCx software, is it the intent of the RFP for the selected firm to turn over the financial responsibility of the monitoring software for this building to the University after the warranty period ends?</w:t>
      </w:r>
    </w:p>
    <w:p w14:paraId="06B0D093" w14:textId="77777777" w:rsidR="00FE36CD" w:rsidRDefault="00FE36CD" w:rsidP="00212EE6"/>
    <w:p w14:paraId="1977E3A7" w14:textId="20433471" w:rsidR="00FE36CD" w:rsidRDefault="00FE36CD" w:rsidP="00212EE6">
      <w:r w:rsidRPr="006D2C2B">
        <w:rPr>
          <w:b/>
          <w:bCs/>
        </w:rPr>
        <w:t>Response:</w:t>
      </w:r>
    </w:p>
    <w:p w14:paraId="670A6D8C" w14:textId="77777777" w:rsidR="00E14B3B" w:rsidRPr="00E14B3B" w:rsidRDefault="00E14B3B" w:rsidP="00E14B3B">
      <w:r w:rsidRPr="00E14B3B">
        <w:t>NA. See response to previous question.</w:t>
      </w:r>
    </w:p>
    <w:p w14:paraId="733A4628" w14:textId="77777777" w:rsidR="00FE36CD" w:rsidRDefault="00FE36CD" w:rsidP="00212EE6"/>
    <w:p w14:paraId="3BF0F99F" w14:textId="77777777" w:rsidR="004E066F" w:rsidRPr="00940420" w:rsidRDefault="004E066F" w:rsidP="004E066F">
      <w:pPr>
        <w:tabs>
          <w:tab w:val="left" w:pos="1080"/>
        </w:tabs>
        <w:jc w:val="both"/>
      </w:pPr>
    </w:p>
    <w:p w14:paraId="26A51770" w14:textId="77777777" w:rsidR="004E066F" w:rsidRPr="00940420" w:rsidRDefault="004E066F" w:rsidP="004E066F">
      <w:pPr>
        <w:tabs>
          <w:tab w:val="left" w:pos="1080"/>
        </w:tabs>
        <w:jc w:val="both"/>
      </w:pPr>
      <w:r w:rsidRPr="00940420">
        <w:lastRenderedPageBreak/>
        <w:t xml:space="preserve">All questions concerning this project must be emailed to: </w:t>
      </w:r>
      <w:r w:rsidRPr="00DF1080">
        <w:rPr>
          <w:b/>
        </w:rPr>
        <w:t>Valerie Kreher</w:t>
      </w:r>
      <w:r w:rsidRPr="00940420">
        <w:t xml:space="preserve">, Procurement &amp; Strategic Sourcing at </w:t>
      </w:r>
      <w:r w:rsidRPr="00940420">
        <w:rPr>
          <w:b/>
        </w:rPr>
        <w:t>313-577-</w:t>
      </w:r>
      <w:r w:rsidRPr="00DF1080">
        <w:rPr>
          <w:b/>
        </w:rPr>
        <w:t>3720</w:t>
      </w:r>
      <w:r w:rsidRPr="00940420">
        <w:t xml:space="preserve"> Email: </w:t>
      </w:r>
      <w:r w:rsidRPr="00DF1080">
        <w:rPr>
          <w:b/>
        </w:rPr>
        <w:t>rfpteam2</w:t>
      </w:r>
      <w:r w:rsidRPr="00940420">
        <w:rPr>
          <w:b/>
        </w:rPr>
        <w:t>@wayne.edu</w:t>
      </w:r>
      <w:r w:rsidRPr="00940420">
        <w:t xml:space="preserve"> by 12:00 p.m., </w:t>
      </w:r>
      <w:r w:rsidRPr="00DF1080">
        <w:rPr>
          <w:b/>
        </w:rPr>
        <w:t>March 28, 2025</w:t>
      </w:r>
      <w:r w:rsidRPr="00940420">
        <w:rPr>
          <w:b/>
        </w:rPr>
        <w:t>.</w:t>
      </w:r>
      <w:r w:rsidRPr="00940420">
        <w:t xml:space="preserve">  </w:t>
      </w:r>
    </w:p>
    <w:p w14:paraId="2680F2E3" w14:textId="77777777" w:rsidR="004E066F" w:rsidRPr="00940420" w:rsidRDefault="004E066F" w:rsidP="004E066F">
      <w:pPr>
        <w:tabs>
          <w:tab w:val="left" w:pos="1080"/>
        </w:tabs>
        <w:jc w:val="both"/>
      </w:pPr>
    </w:p>
    <w:p w14:paraId="3BF2C814" w14:textId="77777777" w:rsidR="004E066F" w:rsidRPr="00940420" w:rsidRDefault="004E066F" w:rsidP="004E066F">
      <w:pPr>
        <w:tabs>
          <w:tab w:val="left" w:pos="1080"/>
        </w:tabs>
        <w:jc w:val="both"/>
      </w:pPr>
      <w:r w:rsidRPr="00940420">
        <w:rPr>
          <w:b/>
        </w:rPr>
        <w:t xml:space="preserve">Do not contact the </w:t>
      </w:r>
      <w:r w:rsidRPr="00DF1080">
        <w:rPr>
          <w:b/>
        </w:rPr>
        <w:t>Facilities Planning and Management</w:t>
      </w:r>
      <w:r w:rsidRPr="00940420">
        <w:rPr>
          <w:b/>
        </w:rPr>
        <w:t>, or other University Units, directly as this may result in disqualification of your proposal.</w:t>
      </w:r>
    </w:p>
    <w:p w14:paraId="6BF28A65" w14:textId="77777777" w:rsidR="004E066F" w:rsidRPr="00940420" w:rsidRDefault="004E066F" w:rsidP="004E066F">
      <w:pPr>
        <w:tabs>
          <w:tab w:val="left" w:pos="1080"/>
        </w:tabs>
        <w:jc w:val="both"/>
      </w:pPr>
    </w:p>
    <w:p w14:paraId="52B42A71" w14:textId="77777777" w:rsidR="004E066F" w:rsidRPr="00940420" w:rsidRDefault="004E066F" w:rsidP="004E066F">
      <w:pPr>
        <w:jc w:val="both"/>
        <w:rPr>
          <w:b/>
        </w:rPr>
      </w:pPr>
      <w:r w:rsidRPr="00940420">
        <w:t>Thank you</w:t>
      </w:r>
    </w:p>
    <w:p w14:paraId="64CD24AA" w14:textId="77777777" w:rsidR="004E066F" w:rsidRPr="00940420" w:rsidRDefault="004E066F" w:rsidP="004E066F">
      <w:pPr>
        <w:jc w:val="both"/>
      </w:pPr>
    </w:p>
    <w:p w14:paraId="2D047203" w14:textId="77777777" w:rsidR="004E066F" w:rsidRPr="00940420" w:rsidRDefault="004E066F" w:rsidP="004E066F">
      <w:pPr>
        <w:pStyle w:val="FootnoteText"/>
        <w:jc w:val="both"/>
      </w:pPr>
      <w:r w:rsidRPr="00DF1080">
        <w:rPr>
          <w:b/>
        </w:rPr>
        <w:t>Valerie Kreher</w:t>
      </w:r>
      <w:r w:rsidRPr="00940420">
        <w:t xml:space="preserve">, </w:t>
      </w:r>
    </w:p>
    <w:p w14:paraId="1E96B848" w14:textId="77777777" w:rsidR="004E066F" w:rsidRPr="00940420" w:rsidRDefault="004E066F" w:rsidP="004E066F">
      <w:pPr>
        <w:pStyle w:val="FootnoteText"/>
        <w:jc w:val="both"/>
      </w:pPr>
      <w:r w:rsidRPr="00DF1080">
        <w:rPr>
          <w:b/>
        </w:rPr>
        <w:t>Senior Buyer</w:t>
      </w:r>
      <w:r w:rsidRPr="00940420">
        <w:t>, Purchasing</w:t>
      </w:r>
    </w:p>
    <w:p w14:paraId="172857CF" w14:textId="77777777" w:rsidR="004E066F" w:rsidRPr="00940420" w:rsidRDefault="004E066F" w:rsidP="004E066F">
      <w:pPr>
        <w:pStyle w:val="FootnoteText"/>
        <w:rPr>
          <w:i/>
        </w:rPr>
      </w:pPr>
      <w:r w:rsidRPr="00940420">
        <w:rPr>
          <w:b/>
        </w:rPr>
        <w:t>313-577-</w:t>
      </w:r>
      <w:r w:rsidRPr="00DF1080">
        <w:rPr>
          <w:b/>
        </w:rPr>
        <w:t>3720</w:t>
      </w:r>
    </w:p>
    <w:p w14:paraId="01BD55C7" w14:textId="77777777" w:rsidR="004E066F" w:rsidRPr="00940420" w:rsidRDefault="004E066F" w:rsidP="004E066F">
      <w:pPr>
        <w:pStyle w:val="FootnoteText"/>
        <w:rPr>
          <w:i/>
        </w:rPr>
      </w:pPr>
    </w:p>
    <w:p w14:paraId="579061E6" w14:textId="77777777" w:rsidR="004E066F" w:rsidRDefault="004E066F" w:rsidP="004E066F">
      <w:pPr>
        <w:tabs>
          <w:tab w:val="left" w:pos="1080"/>
        </w:tabs>
        <w:ind w:left="1080" w:hanging="1080"/>
      </w:pPr>
      <w:r w:rsidRPr="00940420">
        <w:t>CC:</w:t>
      </w:r>
      <w:r w:rsidRPr="00940420">
        <w:tab/>
      </w:r>
      <w:r w:rsidRPr="00DF1080">
        <w:rPr>
          <w:b/>
        </w:rPr>
        <w:t>Ekta Kamalia</w:t>
      </w:r>
      <w:r w:rsidRPr="00940420">
        <w:t>, Attendees list.</w:t>
      </w:r>
    </w:p>
    <w:p w14:paraId="59088DA5" w14:textId="77777777" w:rsidR="004E066F" w:rsidRDefault="004E066F" w:rsidP="004E066F">
      <w:pPr>
        <w:tabs>
          <w:tab w:val="left" w:pos="1080"/>
        </w:tabs>
        <w:ind w:left="1080" w:hanging="1080"/>
      </w:pPr>
    </w:p>
    <w:p w14:paraId="382EE2A9" w14:textId="77777777" w:rsidR="004E066F" w:rsidRDefault="004E066F" w:rsidP="004E066F">
      <w:pPr>
        <w:rPr>
          <w:i/>
        </w:rPr>
      </w:pPr>
      <w:r>
        <w:rPr>
          <w:i/>
        </w:rPr>
        <w:t>Attachments:</w:t>
      </w:r>
    </w:p>
    <w:sectPr w:rsidR="004E066F">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02276" w14:textId="77777777" w:rsidR="006D2C2B" w:rsidRDefault="006D2C2B">
      <w:r>
        <w:separator/>
      </w:r>
    </w:p>
  </w:endnote>
  <w:endnote w:type="continuationSeparator" w:id="0">
    <w:p w14:paraId="6C5FC4EE" w14:textId="77777777" w:rsidR="006D2C2B" w:rsidRDefault="006D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D6DA" w14:textId="77777777" w:rsidR="004E066F" w:rsidRDefault="004E066F" w:rsidP="00F76635">
    <w:pPr>
      <w:pStyle w:val="Footer"/>
      <w:ind w:left="180" w:hanging="180"/>
      <w:jc w:val="center"/>
    </w:pPr>
    <w:r>
      <w:t xml:space="preserve">Page </w:t>
    </w:r>
    <w:r>
      <w:fldChar w:fldCharType="begin"/>
    </w:r>
    <w:r>
      <w:instrText xml:space="preserve"> PAGE   \* MERGEFORMAT </w:instrText>
    </w:r>
    <w:r>
      <w:fldChar w:fldCharType="separate"/>
    </w:r>
    <w:r>
      <w:rPr>
        <w:noProof/>
      </w:rPr>
      <w:t>17</w:t>
    </w:r>
    <w:r>
      <w:fldChar w:fldCharType="end"/>
    </w:r>
  </w:p>
  <w:p w14:paraId="17F15518" w14:textId="77777777" w:rsidR="004E066F" w:rsidRDefault="004E066F">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67F9" w14:textId="77777777" w:rsidR="004E066F" w:rsidRPr="00F943B9" w:rsidRDefault="004E066F" w:rsidP="00F9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B3065" w14:textId="77777777" w:rsidR="006D2C2B" w:rsidRDefault="006D2C2B">
      <w:r>
        <w:separator/>
      </w:r>
    </w:p>
  </w:footnote>
  <w:footnote w:type="continuationSeparator" w:id="0">
    <w:p w14:paraId="28A569AB" w14:textId="77777777" w:rsidR="006D2C2B" w:rsidRDefault="006D2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8397" w14:textId="77777777" w:rsidR="004E066F" w:rsidRDefault="004E066F" w:rsidP="000B3925">
    <w:pP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58193F"/>
    <w:multiLevelType w:val="hybridMultilevel"/>
    <w:tmpl w:val="710E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29710776">
    <w:abstractNumId w:val="0"/>
  </w:num>
  <w:num w:numId="2" w16cid:durableId="106779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6F"/>
    <w:rsid w:val="00130CFF"/>
    <w:rsid w:val="00133030"/>
    <w:rsid w:val="00181551"/>
    <w:rsid w:val="002009BC"/>
    <w:rsid w:val="00212EE6"/>
    <w:rsid w:val="00465943"/>
    <w:rsid w:val="004E066F"/>
    <w:rsid w:val="006D2C2B"/>
    <w:rsid w:val="007944CD"/>
    <w:rsid w:val="008B7A8E"/>
    <w:rsid w:val="009C7D62"/>
    <w:rsid w:val="00C6695D"/>
    <w:rsid w:val="00E14B3B"/>
    <w:rsid w:val="00ED7648"/>
    <w:rsid w:val="00F6326F"/>
    <w:rsid w:val="00FE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hapeDefaults>
    <o:shapedefaults v:ext="edit" spidmax="1026"/>
    <o:shapelayout v:ext="edit">
      <o:idmap v:ext="edit" data="1"/>
    </o:shapelayout>
  </w:shapeDefaults>
  <w:decimalSymbol w:val="."/>
  <w:listSeparator w:val=","/>
  <w14:docId w14:val="0623ACA9"/>
  <w15:chartTrackingRefBased/>
  <w15:docId w15:val="{66C31239-1D2E-4854-832F-0365E5AF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6F"/>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4E0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6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6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6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6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6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6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6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66F"/>
    <w:rPr>
      <w:rFonts w:eastAsiaTheme="majorEastAsia" w:cstheme="majorBidi"/>
      <w:color w:val="272727" w:themeColor="text1" w:themeTint="D8"/>
    </w:rPr>
  </w:style>
  <w:style w:type="paragraph" w:styleId="Title">
    <w:name w:val="Title"/>
    <w:basedOn w:val="Normal"/>
    <w:next w:val="Normal"/>
    <w:link w:val="TitleChar"/>
    <w:uiPriority w:val="10"/>
    <w:qFormat/>
    <w:rsid w:val="004E06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66F"/>
    <w:pPr>
      <w:spacing w:before="160"/>
      <w:jc w:val="center"/>
    </w:pPr>
    <w:rPr>
      <w:i/>
      <w:iCs/>
      <w:color w:val="404040" w:themeColor="text1" w:themeTint="BF"/>
    </w:rPr>
  </w:style>
  <w:style w:type="character" w:customStyle="1" w:styleId="QuoteChar">
    <w:name w:val="Quote Char"/>
    <w:basedOn w:val="DefaultParagraphFont"/>
    <w:link w:val="Quote"/>
    <w:uiPriority w:val="29"/>
    <w:rsid w:val="004E066F"/>
    <w:rPr>
      <w:i/>
      <w:iCs/>
      <w:color w:val="404040" w:themeColor="text1" w:themeTint="BF"/>
    </w:rPr>
  </w:style>
  <w:style w:type="paragraph" w:styleId="ListParagraph">
    <w:name w:val="List Paragraph"/>
    <w:basedOn w:val="Normal"/>
    <w:uiPriority w:val="34"/>
    <w:qFormat/>
    <w:rsid w:val="004E066F"/>
    <w:pPr>
      <w:ind w:left="720"/>
      <w:contextualSpacing/>
    </w:pPr>
  </w:style>
  <w:style w:type="character" w:styleId="IntenseEmphasis">
    <w:name w:val="Intense Emphasis"/>
    <w:basedOn w:val="DefaultParagraphFont"/>
    <w:uiPriority w:val="21"/>
    <w:qFormat/>
    <w:rsid w:val="004E066F"/>
    <w:rPr>
      <w:i/>
      <w:iCs/>
      <w:color w:val="0F4761" w:themeColor="accent1" w:themeShade="BF"/>
    </w:rPr>
  </w:style>
  <w:style w:type="paragraph" w:styleId="IntenseQuote">
    <w:name w:val="Intense Quote"/>
    <w:basedOn w:val="Normal"/>
    <w:next w:val="Normal"/>
    <w:link w:val="IntenseQuoteChar"/>
    <w:uiPriority w:val="30"/>
    <w:qFormat/>
    <w:rsid w:val="004E0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66F"/>
    <w:rPr>
      <w:i/>
      <w:iCs/>
      <w:color w:val="0F4761" w:themeColor="accent1" w:themeShade="BF"/>
    </w:rPr>
  </w:style>
  <w:style w:type="character" w:styleId="IntenseReference">
    <w:name w:val="Intense Reference"/>
    <w:basedOn w:val="DefaultParagraphFont"/>
    <w:uiPriority w:val="32"/>
    <w:qFormat/>
    <w:rsid w:val="004E066F"/>
    <w:rPr>
      <w:b/>
      <w:bCs/>
      <w:smallCaps/>
      <w:color w:val="0F4761" w:themeColor="accent1" w:themeShade="BF"/>
      <w:spacing w:val="5"/>
    </w:rPr>
  </w:style>
  <w:style w:type="paragraph" w:styleId="Footer">
    <w:name w:val="footer"/>
    <w:basedOn w:val="Normal"/>
    <w:link w:val="FooterChar"/>
    <w:uiPriority w:val="99"/>
    <w:rsid w:val="004E066F"/>
    <w:pPr>
      <w:tabs>
        <w:tab w:val="center" w:pos="4320"/>
        <w:tab w:val="right" w:pos="8640"/>
      </w:tabs>
    </w:pPr>
  </w:style>
  <w:style w:type="character" w:customStyle="1" w:styleId="FooterChar">
    <w:name w:val="Footer Char"/>
    <w:basedOn w:val="DefaultParagraphFont"/>
    <w:link w:val="Footer"/>
    <w:uiPriority w:val="99"/>
    <w:rsid w:val="004E066F"/>
    <w:rPr>
      <w:rFonts w:ascii="Arial" w:eastAsia="Times New Roman" w:hAnsi="Arial" w:cs="Arial"/>
      <w:kern w:val="0"/>
      <w:sz w:val="18"/>
      <w:szCs w:val="18"/>
      <w14:ligatures w14:val="none"/>
    </w:rPr>
  </w:style>
  <w:style w:type="paragraph" w:styleId="FootnoteText">
    <w:name w:val="footnote text"/>
    <w:basedOn w:val="Normal"/>
    <w:link w:val="FootnoteTextChar"/>
    <w:rsid w:val="004E066F"/>
  </w:style>
  <w:style w:type="character" w:customStyle="1" w:styleId="FootnoteTextChar">
    <w:name w:val="Footnote Text Char"/>
    <w:basedOn w:val="DefaultParagraphFont"/>
    <w:link w:val="FootnoteText"/>
    <w:rsid w:val="004E066F"/>
    <w:rPr>
      <w:rFonts w:ascii="Arial" w:eastAsia="Times New Roman" w:hAnsi="Arial" w:cs="Arial"/>
      <w:kern w:val="0"/>
      <w:sz w:val="18"/>
      <w:szCs w:val="18"/>
      <w14:ligatures w14:val="none"/>
    </w:rPr>
  </w:style>
  <w:style w:type="paragraph" w:styleId="BodyText3">
    <w:name w:val="Body Text 3"/>
    <w:basedOn w:val="Normal"/>
    <w:link w:val="BodyText3Char"/>
    <w:rsid w:val="004E066F"/>
    <w:pPr>
      <w:spacing w:after="120"/>
    </w:pPr>
    <w:rPr>
      <w:sz w:val="16"/>
      <w:szCs w:val="16"/>
      <w:lang w:val="x-none" w:eastAsia="x-none"/>
    </w:rPr>
  </w:style>
  <w:style w:type="character" w:customStyle="1" w:styleId="BodyText3Char">
    <w:name w:val="Body Text 3 Char"/>
    <w:basedOn w:val="DefaultParagraphFont"/>
    <w:link w:val="BodyText3"/>
    <w:rsid w:val="004E066F"/>
    <w:rPr>
      <w:rFonts w:ascii="Arial" w:eastAsia="Times New Roman" w:hAnsi="Arial" w:cs="Arial"/>
      <w:kern w:val="0"/>
      <w:sz w:val="16"/>
      <w:szCs w:val="16"/>
      <w:lang w:val="x-none" w:eastAsia="x-none"/>
      <w14:ligatures w14:val="none"/>
    </w:rPr>
  </w:style>
  <w:style w:type="character" w:styleId="Hyperlink">
    <w:name w:val="Hyperlink"/>
    <w:basedOn w:val="DefaultParagraphFont"/>
    <w:uiPriority w:val="99"/>
    <w:unhideWhenUsed/>
    <w:rsid w:val="00133030"/>
    <w:rPr>
      <w:color w:val="467886" w:themeColor="hyperlink"/>
      <w:u w:val="single"/>
    </w:rPr>
  </w:style>
  <w:style w:type="character" w:styleId="UnresolvedMention">
    <w:name w:val="Unresolved Mention"/>
    <w:basedOn w:val="DefaultParagraphFont"/>
    <w:uiPriority w:val="99"/>
    <w:semiHidden/>
    <w:unhideWhenUsed/>
    <w:rsid w:val="00133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0209">
      <w:bodyDiv w:val="1"/>
      <w:marLeft w:val="0"/>
      <w:marRight w:val="0"/>
      <w:marTop w:val="0"/>
      <w:marBottom w:val="0"/>
      <w:divBdr>
        <w:top w:val="none" w:sz="0" w:space="0" w:color="auto"/>
        <w:left w:val="none" w:sz="0" w:space="0" w:color="auto"/>
        <w:bottom w:val="none" w:sz="0" w:space="0" w:color="auto"/>
        <w:right w:val="none" w:sz="0" w:space="0" w:color="auto"/>
      </w:divBdr>
    </w:div>
    <w:div w:id="105467217">
      <w:bodyDiv w:val="1"/>
      <w:marLeft w:val="0"/>
      <w:marRight w:val="0"/>
      <w:marTop w:val="0"/>
      <w:marBottom w:val="0"/>
      <w:divBdr>
        <w:top w:val="none" w:sz="0" w:space="0" w:color="auto"/>
        <w:left w:val="none" w:sz="0" w:space="0" w:color="auto"/>
        <w:bottom w:val="none" w:sz="0" w:space="0" w:color="auto"/>
        <w:right w:val="none" w:sz="0" w:space="0" w:color="auto"/>
      </w:divBdr>
    </w:div>
    <w:div w:id="124156542">
      <w:bodyDiv w:val="1"/>
      <w:marLeft w:val="0"/>
      <w:marRight w:val="0"/>
      <w:marTop w:val="0"/>
      <w:marBottom w:val="0"/>
      <w:divBdr>
        <w:top w:val="none" w:sz="0" w:space="0" w:color="auto"/>
        <w:left w:val="none" w:sz="0" w:space="0" w:color="auto"/>
        <w:bottom w:val="none" w:sz="0" w:space="0" w:color="auto"/>
        <w:right w:val="none" w:sz="0" w:space="0" w:color="auto"/>
      </w:divBdr>
    </w:div>
    <w:div w:id="235171769">
      <w:bodyDiv w:val="1"/>
      <w:marLeft w:val="0"/>
      <w:marRight w:val="0"/>
      <w:marTop w:val="0"/>
      <w:marBottom w:val="0"/>
      <w:divBdr>
        <w:top w:val="none" w:sz="0" w:space="0" w:color="auto"/>
        <w:left w:val="none" w:sz="0" w:space="0" w:color="auto"/>
        <w:bottom w:val="none" w:sz="0" w:space="0" w:color="auto"/>
        <w:right w:val="none" w:sz="0" w:space="0" w:color="auto"/>
      </w:divBdr>
    </w:div>
    <w:div w:id="465709423">
      <w:bodyDiv w:val="1"/>
      <w:marLeft w:val="0"/>
      <w:marRight w:val="0"/>
      <w:marTop w:val="0"/>
      <w:marBottom w:val="0"/>
      <w:divBdr>
        <w:top w:val="none" w:sz="0" w:space="0" w:color="auto"/>
        <w:left w:val="none" w:sz="0" w:space="0" w:color="auto"/>
        <w:bottom w:val="none" w:sz="0" w:space="0" w:color="auto"/>
        <w:right w:val="none" w:sz="0" w:space="0" w:color="auto"/>
      </w:divBdr>
    </w:div>
    <w:div w:id="466510049">
      <w:bodyDiv w:val="1"/>
      <w:marLeft w:val="0"/>
      <w:marRight w:val="0"/>
      <w:marTop w:val="0"/>
      <w:marBottom w:val="0"/>
      <w:divBdr>
        <w:top w:val="none" w:sz="0" w:space="0" w:color="auto"/>
        <w:left w:val="none" w:sz="0" w:space="0" w:color="auto"/>
        <w:bottom w:val="none" w:sz="0" w:space="0" w:color="auto"/>
        <w:right w:val="none" w:sz="0" w:space="0" w:color="auto"/>
      </w:divBdr>
    </w:div>
    <w:div w:id="488594395">
      <w:bodyDiv w:val="1"/>
      <w:marLeft w:val="0"/>
      <w:marRight w:val="0"/>
      <w:marTop w:val="0"/>
      <w:marBottom w:val="0"/>
      <w:divBdr>
        <w:top w:val="none" w:sz="0" w:space="0" w:color="auto"/>
        <w:left w:val="none" w:sz="0" w:space="0" w:color="auto"/>
        <w:bottom w:val="none" w:sz="0" w:space="0" w:color="auto"/>
        <w:right w:val="none" w:sz="0" w:space="0" w:color="auto"/>
      </w:divBdr>
    </w:div>
    <w:div w:id="769198119">
      <w:bodyDiv w:val="1"/>
      <w:marLeft w:val="0"/>
      <w:marRight w:val="0"/>
      <w:marTop w:val="0"/>
      <w:marBottom w:val="0"/>
      <w:divBdr>
        <w:top w:val="none" w:sz="0" w:space="0" w:color="auto"/>
        <w:left w:val="none" w:sz="0" w:space="0" w:color="auto"/>
        <w:bottom w:val="none" w:sz="0" w:space="0" w:color="auto"/>
        <w:right w:val="none" w:sz="0" w:space="0" w:color="auto"/>
      </w:divBdr>
    </w:div>
    <w:div w:id="805123615">
      <w:bodyDiv w:val="1"/>
      <w:marLeft w:val="0"/>
      <w:marRight w:val="0"/>
      <w:marTop w:val="0"/>
      <w:marBottom w:val="0"/>
      <w:divBdr>
        <w:top w:val="none" w:sz="0" w:space="0" w:color="auto"/>
        <w:left w:val="none" w:sz="0" w:space="0" w:color="auto"/>
        <w:bottom w:val="none" w:sz="0" w:space="0" w:color="auto"/>
        <w:right w:val="none" w:sz="0" w:space="0" w:color="auto"/>
      </w:divBdr>
    </w:div>
    <w:div w:id="910233043">
      <w:bodyDiv w:val="1"/>
      <w:marLeft w:val="0"/>
      <w:marRight w:val="0"/>
      <w:marTop w:val="0"/>
      <w:marBottom w:val="0"/>
      <w:divBdr>
        <w:top w:val="none" w:sz="0" w:space="0" w:color="auto"/>
        <w:left w:val="none" w:sz="0" w:space="0" w:color="auto"/>
        <w:bottom w:val="none" w:sz="0" w:space="0" w:color="auto"/>
        <w:right w:val="none" w:sz="0" w:space="0" w:color="auto"/>
      </w:divBdr>
    </w:div>
    <w:div w:id="913851926">
      <w:bodyDiv w:val="1"/>
      <w:marLeft w:val="0"/>
      <w:marRight w:val="0"/>
      <w:marTop w:val="0"/>
      <w:marBottom w:val="0"/>
      <w:divBdr>
        <w:top w:val="none" w:sz="0" w:space="0" w:color="auto"/>
        <w:left w:val="none" w:sz="0" w:space="0" w:color="auto"/>
        <w:bottom w:val="none" w:sz="0" w:space="0" w:color="auto"/>
        <w:right w:val="none" w:sz="0" w:space="0" w:color="auto"/>
      </w:divBdr>
    </w:div>
    <w:div w:id="1017078696">
      <w:bodyDiv w:val="1"/>
      <w:marLeft w:val="0"/>
      <w:marRight w:val="0"/>
      <w:marTop w:val="0"/>
      <w:marBottom w:val="0"/>
      <w:divBdr>
        <w:top w:val="none" w:sz="0" w:space="0" w:color="auto"/>
        <w:left w:val="none" w:sz="0" w:space="0" w:color="auto"/>
        <w:bottom w:val="none" w:sz="0" w:space="0" w:color="auto"/>
        <w:right w:val="none" w:sz="0" w:space="0" w:color="auto"/>
      </w:divBdr>
    </w:div>
    <w:div w:id="1029791900">
      <w:bodyDiv w:val="1"/>
      <w:marLeft w:val="0"/>
      <w:marRight w:val="0"/>
      <w:marTop w:val="0"/>
      <w:marBottom w:val="0"/>
      <w:divBdr>
        <w:top w:val="none" w:sz="0" w:space="0" w:color="auto"/>
        <w:left w:val="none" w:sz="0" w:space="0" w:color="auto"/>
        <w:bottom w:val="none" w:sz="0" w:space="0" w:color="auto"/>
        <w:right w:val="none" w:sz="0" w:space="0" w:color="auto"/>
      </w:divBdr>
    </w:div>
    <w:div w:id="1119295350">
      <w:bodyDiv w:val="1"/>
      <w:marLeft w:val="0"/>
      <w:marRight w:val="0"/>
      <w:marTop w:val="0"/>
      <w:marBottom w:val="0"/>
      <w:divBdr>
        <w:top w:val="none" w:sz="0" w:space="0" w:color="auto"/>
        <w:left w:val="none" w:sz="0" w:space="0" w:color="auto"/>
        <w:bottom w:val="none" w:sz="0" w:space="0" w:color="auto"/>
        <w:right w:val="none" w:sz="0" w:space="0" w:color="auto"/>
      </w:divBdr>
    </w:div>
    <w:div w:id="1120106799">
      <w:bodyDiv w:val="1"/>
      <w:marLeft w:val="0"/>
      <w:marRight w:val="0"/>
      <w:marTop w:val="0"/>
      <w:marBottom w:val="0"/>
      <w:divBdr>
        <w:top w:val="none" w:sz="0" w:space="0" w:color="auto"/>
        <w:left w:val="none" w:sz="0" w:space="0" w:color="auto"/>
        <w:bottom w:val="none" w:sz="0" w:space="0" w:color="auto"/>
        <w:right w:val="none" w:sz="0" w:space="0" w:color="auto"/>
      </w:divBdr>
    </w:div>
    <w:div w:id="1242565723">
      <w:bodyDiv w:val="1"/>
      <w:marLeft w:val="0"/>
      <w:marRight w:val="0"/>
      <w:marTop w:val="0"/>
      <w:marBottom w:val="0"/>
      <w:divBdr>
        <w:top w:val="none" w:sz="0" w:space="0" w:color="auto"/>
        <w:left w:val="none" w:sz="0" w:space="0" w:color="auto"/>
        <w:bottom w:val="none" w:sz="0" w:space="0" w:color="auto"/>
        <w:right w:val="none" w:sz="0" w:space="0" w:color="auto"/>
      </w:divBdr>
    </w:div>
    <w:div w:id="1306742052">
      <w:bodyDiv w:val="1"/>
      <w:marLeft w:val="0"/>
      <w:marRight w:val="0"/>
      <w:marTop w:val="0"/>
      <w:marBottom w:val="0"/>
      <w:divBdr>
        <w:top w:val="none" w:sz="0" w:space="0" w:color="auto"/>
        <w:left w:val="none" w:sz="0" w:space="0" w:color="auto"/>
        <w:bottom w:val="none" w:sz="0" w:space="0" w:color="auto"/>
        <w:right w:val="none" w:sz="0" w:space="0" w:color="auto"/>
      </w:divBdr>
    </w:div>
    <w:div w:id="1360163869">
      <w:bodyDiv w:val="1"/>
      <w:marLeft w:val="0"/>
      <w:marRight w:val="0"/>
      <w:marTop w:val="0"/>
      <w:marBottom w:val="0"/>
      <w:divBdr>
        <w:top w:val="none" w:sz="0" w:space="0" w:color="auto"/>
        <w:left w:val="none" w:sz="0" w:space="0" w:color="auto"/>
        <w:bottom w:val="none" w:sz="0" w:space="0" w:color="auto"/>
        <w:right w:val="none" w:sz="0" w:space="0" w:color="auto"/>
      </w:divBdr>
    </w:div>
    <w:div w:id="1508397310">
      <w:bodyDiv w:val="1"/>
      <w:marLeft w:val="0"/>
      <w:marRight w:val="0"/>
      <w:marTop w:val="0"/>
      <w:marBottom w:val="0"/>
      <w:divBdr>
        <w:top w:val="none" w:sz="0" w:space="0" w:color="auto"/>
        <w:left w:val="none" w:sz="0" w:space="0" w:color="auto"/>
        <w:bottom w:val="none" w:sz="0" w:space="0" w:color="auto"/>
        <w:right w:val="none" w:sz="0" w:space="0" w:color="auto"/>
      </w:divBdr>
    </w:div>
    <w:div w:id="1511796194">
      <w:bodyDiv w:val="1"/>
      <w:marLeft w:val="0"/>
      <w:marRight w:val="0"/>
      <w:marTop w:val="0"/>
      <w:marBottom w:val="0"/>
      <w:divBdr>
        <w:top w:val="none" w:sz="0" w:space="0" w:color="auto"/>
        <w:left w:val="none" w:sz="0" w:space="0" w:color="auto"/>
        <w:bottom w:val="none" w:sz="0" w:space="0" w:color="auto"/>
        <w:right w:val="none" w:sz="0" w:space="0" w:color="auto"/>
      </w:divBdr>
    </w:div>
    <w:div w:id="1516530388">
      <w:bodyDiv w:val="1"/>
      <w:marLeft w:val="0"/>
      <w:marRight w:val="0"/>
      <w:marTop w:val="0"/>
      <w:marBottom w:val="0"/>
      <w:divBdr>
        <w:top w:val="none" w:sz="0" w:space="0" w:color="auto"/>
        <w:left w:val="none" w:sz="0" w:space="0" w:color="auto"/>
        <w:bottom w:val="none" w:sz="0" w:space="0" w:color="auto"/>
        <w:right w:val="none" w:sz="0" w:space="0" w:color="auto"/>
      </w:divBdr>
    </w:div>
    <w:div w:id="1636062155">
      <w:bodyDiv w:val="1"/>
      <w:marLeft w:val="0"/>
      <w:marRight w:val="0"/>
      <w:marTop w:val="0"/>
      <w:marBottom w:val="0"/>
      <w:divBdr>
        <w:top w:val="none" w:sz="0" w:space="0" w:color="auto"/>
        <w:left w:val="none" w:sz="0" w:space="0" w:color="auto"/>
        <w:bottom w:val="none" w:sz="0" w:space="0" w:color="auto"/>
        <w:right w:val="none" w:sz="0" w:space="0" w:color="auto"/>
      </w:divBdr>
    </w:div>
    <w:div w:id="1793279251">
      <w:bodyDiv w:val="1"/>
      <w:marLeft w:val="0"/>
      <w:marRight w:val="0"/>
      <w:marTop w:val="0"/>
      <w:marBottom w:val="0"/>
      <w:divBdr>
        <w:top w:val="none" w:sz="0" w:space="0" w:color="auto"/>
        <w:left w:val="none" w:sz="0" w:space="0" w:color="auto"/>
        <w:bottom w:val="none" w:sz="0" w:space="0" w:color="auto"/>
        <w:right w:val="none" w:sz="0" w:space="0" w:color="auto"/>
      </w:divBdr>
    </w:div>
    <w:div w:id="1823814939">
      <w:bodyDiv w:val="1"/>
      <w:marLeft w:val="0"/>
      <w:marRight w:val="0"/>
      <w:marTop w:val="0"/>
      <w:marBottom w:val="0"/>
      <w:divBdr>
        <w:top w:val="none" w:sz="0" w:space="0" w:color="auto"/>
        <w:left w:val="none" w:sz="0" w:space="0" w:color="auto"/>
        <w:bottom w:val="none" w:sz="0" w:space="0" w:color="auto"/>
        <w:right w:val="none" w:sz="0" w:space="0" w:color="auto"/>
      </w:divBdr>
    </w:div>
    <w:div w:id="1977682721">
      <w:bodyDiv w:val="1"/>
      <w:marLeft w:val="0"/>
      <w:marRight w:val="0"/>
      <w:marTop w:val="0"/>
      <w:marBottom w:val="0"/>
      <w:divBdr>
        <w:top w:val="none" w:sz="0" w:space="0" w:color="auto"/>
        <w:left w:val="none" w:sz="0" w:space="0" w:color="auto"/>
        <w:bottom w:val="none" w:sz="0" w:space="0" w:color="auto"/>
        <w:right w:val="none" w:sz="0" w:space="0" w:color="auto"/>
      </w:divBdr>
    </w:div>
    <w:div w:id="21424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wayne.edu/bi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7</cp:revision>
  <dcterms:created xsi:type="dcterms:W3CDTF">2025-03-19T14:55:00Z</dcterms:created>
  <dcterms:modified xsi:type="dcterms:W3CDTF">2025-03-28T17:23:00Z</dcterms:modified>
</cp:coreProperties>
</file>